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847BFC" w14:textId="368F9ADA" w:rsidR="00D15995" w:rsidRPr="007C47A9" w:rsidRDefault="00D15995" w:rsidP="00D41E4E">
      <w:pPr>
        <w:spacing w:after="0" w:line="240" w:lineRule="auto"/>
        <w:jc w:val="left"/>
        <w:rPr>
          <w:rFonts w:ascii="Times New Roman" w:eastAsia="PMingLiU" w:hAnsi="Times New Roman" w:cs="Times New Roman"/>
          <w:sz w:val="22"/>
          <w:szCs w:val="22"/>
          <w:lang w:eastAsia="zh-TW"/>
        </w:rPr>
      </w:pPr>
      <w:r w:rsidRPr="007C47A9">
        <w:rPr>
          <w:rFonts w:ascii="Times New Roman" w:eastAsia="PMingLiU" w:hAnsi="Times New Roman" w:cs="Times New Roman"/>
          <w:sz w:val="22"/>
          <w:szCs w:val="22"/>
          <w:lang w:eastAsia="zh-TW"/>
        </w:rPr>
        <w:t>Załącznik</w:t>
      </w:r>
      <w:r w:rsidR="000C30A8" w:rsidRPr="007C47A9">
        <w:rPr>
          <w:rFonts w:ascii="Times New Roman" w:eastAsia="PMingLiU" w:hAnsi="Times New Roman" w:cs="Times New Roman"/>
          <w:sz w:val="22"/>
          <w:szCs w:val="22"/>
          <w:lang w:eastAsia="zh-TW"/>
        </w:rPr>
        <w:t xml:space="preserve"> </w:t>
      </w:r>
      <w:r w:rsidRPr="007C47A9">
        <w:rPr>
          <w:rFonts w:ascii="Times New Roman" w:eastAsia="PMingLiU" w:hAnsi="Times New Roman" w:cs="Times New Roman"/>
          <w:sz w:val="22"/>
          <w:szCs w:val="22"/>
          <w:lang w:eastAsia="zh-TW"/>
        </w:rPr>
        <w:t>B.101.</w:t>
      </w:r>
    </w:p>
    <w:p w14:paraId="4B954904" w14:textId="77777777" w:rsidR="00D15995" w:rsidRPr="007C47A9" w:rsidRDefault="00D15995" w:rsidP="00D41E4E">
      <w:pPr>
        <w:spacing w:after="0" w:line="240" w:lineRule="auto"/>
        <w:jc w:val="left"/>
        <w:rPr>
          <w:rFonts w:ascii="Times New Roman" w:eastAsia="PMingLiU" w:hAnsi="Times New Roman" w:cs="Times New Roman"/>
          <w:sz w:val="22"/>
          <w:szCs w:val="22"/>
          <w:lang w:eastAsia="zh-TW"/>
        </w:rPr>
      </w:pPr>
    </w:p>
    <w:p w14:paraId="047C1871" w14:textId="076184BD" w:rsidR="00A909C1" w:rsidRPr="007C47A9" w:rsidRDefault="00A909C1" w:rsidP="00D41E4E">
      <w:pPr>
        <w:autoSpaceDE w:val="0"/>
        <w:autoSpaceDN w:val="0"/>
        <w:adjustRightInd w:val="0"/>
        <w:spacing w:after="240" w:line="240" w:lineRule="auto"/>
        <w:rPr>
          <w:rFonts w:ascii="Times New Roman" w:hAnsi="Times New Roman" w:cs="Times New Roman"/>
          <w:b/>
          <w:bCs/>
          <w:sz w:val="28"/>
          <w:szCs w:val="24"/>
        </w:rPr>
      </w:pPr>
      <w:bookmarkStart w:id="0" w:name="_Hlk114125997"/>
      <w:r w:rsidRPr="007C47A9">
        <w:rPr>
          <w:rFonts w:ascii="Times New Roman" w:hAnsi="Times New Roman" w:cs="Times New Roman"/>
          <w:b/>
          <w:bCs/>
          <w:sz w:val="28"/>
          <w:szCs w:val="24"/>
        </w:rPr>
        <w:t>LECZENIE</w:t>
      </w:r>
      <w:r w:rsidR="000C30A8" w:rsidRPr="007C47A9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Pr="007C47A9">
        <w:rPr>
          <w:rFonts w:ascii="Times New Roman" w:hAnsi="Times New Roman" w:cs="Times New Roman"/>
          <w:b/>
          <w:bCs/>
          <w:sz w:val="28"/>
          <w:szCs w:val="24"/>
        </w:rPr>
        <w:t>PACJENTÓW</w:t>
      </w:r>
      <w:r w:rsidR="000C30A8" w:rsidRPr="007C47A9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Pr="007C47A9">
        <w:rPr>
          <w:rFonts w:ascii="Times New Roman" w:hAnsi="Times New Roman" w:cs="Times New Roman"/>
          <w:b/>
          <w:bCs/>
          <w:sz w:val="28"/>
          <w:szCs w:val="24"/>
        </w:rPr>
        <w:t>Z</w:t>
      </w:r>
      <w:r w:rsidR="000C30A8" w:rsidRPr="007C47A9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Pr="007C47A9">
        <w:rPr>
          <w:rFonts w:ascii="Times New Roman" w:hAnsi="Times New Roman" w:cs="Times New Roman"/>
          <w:b/>
          <w:bCs/>
          <w:sz w:val="28"/>
          <w:szCs w:val="24"/>
        </w:rPr>
        <w:t>ZABURZENIAMI</w:t>
      </w:r>
      <w:r w:rsidR="000C30A8" w:rsidRPr="007C47A9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Pr="007C47A9">
        <w:rPr>
          <w:rFonts w:ascii="Times New Roman" w:hAnsi="Times New Roman" w:cs="Times New Roman"/>
          <w:b/>
          <w:bCs/>
          <w:sz w:val="28"/>
          <w:szCs w:val="24"/>
        </w:rPr>
        <w:t>LIPIDOWYMI</w:t>
      </w:r>
      <w:r w:rsidR="000C30A8" w:rsidRPr="007C47A9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Pr="007C47A9">
        <w:rPr>
          <w:rFonts w:ascii="Times New Roman" w:hAnsi="Times New Roman" w:cs="Times New Roman"/>
          <w:b/>
          <w:bCs/>
          <w:sz w:val="28"/>
          <w:szCs w:val="24"/>
        </w:rPr>
        <w:t>(ICD-10</w:t>
      </w:r>
      <w:r w:rsidR="00450A45" w:rsidRPr="007C47A9">
        <w:rPr>
          <w:rFonts w:ascii="Times New Roman" w:hAnsi="Times New Roman" w:cs="Times New Roman"/>
          <w:b/>
          <w:bCs/>
          <w:sz w:val="28"/>
          <w:szCs w:val="24"/>
        </w:rPr>
        <w:t>:</w:t>
      </w:r>
      <w:r w:rsidR="000C30A8" w:rsidRPr="007C47A9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Pr="007C47A9">
        <w:rPr>
          <w:rFonts w:ascii="Times New Roman" w:hAnsi="Times New Roman" w:cs="Times New Roman"/>
          <w:b/>
          <w:bCs/>
          <w:sz w:val="28"/>
          <w:szCs w:val="24"/>
        </w:rPr>
        <w:t>E78.01,</w:t>
      </w:r>
      <w:r w:rsidR="000C30A8" w:rsidRPr="007C47A9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Pr="007C47A9">
        <w:rPr>
          <w:rFonts w:ascii="Times New Roman" w:hAnsi="Times New Roman" w:cs="Times New Roman"/>
          <w:b/>
          <w:bCs/>
          <w:sz w:val="28"/>
          <w:szCs w:val="24"/>
        </w:rPr>
        <w:t>I21,</w:t>
      </w:r>
      <w:r w:rsidR="000C30A8" w:rsidRPr="007C47A9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Pr="007C47A9">
        <w:rPr>
          <w:rFonts w:ascii="Times New Roman" w:hAnsi="Times New Roman" w:cs="Times New Roman"/>
          <w:b/>
          <w:bCs/>
          <w:sz w:val="28"/>
          <w:szCs w:val="24"/>
        </w:rPr>
        <w:t>I22,</w:t>
      </w:r>
      <w:r w:rsidR="000C30A8" w:rsidRPr="007C47A9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Pr="007C47A9">
        <w:rPr>
          <w:rFonts w:ascii="Times New Roman" w:hAnsi="Times New Roman" w:cs="Times New Roman"/>
          <w:b/>
          <w:bCs/>
          <w:sz w:val="28"/>
          <w:szCs w:val="24"/>
        </w:rPr>
        <w:t>I25)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6799"/>
        <w:gridCol w:w="4294"/>
        <w:gridCol w:w="4295"/>
      </w:tblGrid>
      <w:tr w:rsidR="00C058A9" w:rsidRPr="007C47A9" w14:paraId="78F3F868" w14:textId="77777777" w:rsidTr="000C30A8">
        <w:trPr>
          <w:trHeight w:val="567"/>
        </w:trPr>
        <w:tc>
          <w:tcPr>
            <w:tcW w:w="15388" w:type="dxa"/>
            <w:gridSpan w:val="3"/>
            <w:vAlign w:val="center"/>
          </w:tcPr>
          <w:bookmarkEnd w:id="0"/>
          <w:p w14:paraId="71EF0086" w14:textId="64997404" w:rsidR="00C058A9" w:rsidRPr="007C47A9" w:rsidRDefault="00E1105B" w:rsidP="007B38B1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7C47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ZAKRES</w:t>
            </w:r>
            <w:r w:rsidR="000C30A8" w:rsidRPr="007C47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ŚWIADCZENIA</w:t>
            </w:r>
            <w:r w:rsidR="000C30A8" w:rsidRPr="007C47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GWARANTOWANEGO</w:t>
            </w:r>
          </w:p>
        </w:tc>
      </w:tr>
      <w:tr w:rsidR="00E1105B" w:rsidRPr="007C47A9" w14:paraId="6C135314" w14:textId="77777777" w:rsidTr="000C30A8">
        <w:trPr>
          <w:trHeight w:val="567"/>
        </w:trPr>
        <w:tc>
          <w:tcPr>
            <w:tcW w:w="6799" w:type="dxa"/>
            <w:vAlign w:val="center"/>
          </w:tcPr>
          <w:p w14:paraId="428DA4FE" w14:textId="77777777" w:rsidR="00E1105B" w:rsidRPr="007C47A9" w:rsidRDefault="00E1105B" w:rsidP="007B3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4294" w:type="dxa"/>
            <w:vAlign w:val="center"/>
          </w:tcPr>
          <w:p w14:paraId="4EFF7DD0" w14:textId="2CC74803" w:rsidR="00E1105B" w:rsidRPr="007C47A9" w:rsidRDefault="00E1105B" w:rsidP="007B3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SCHEMAT</w:t>
            </w:r>
            <w:r w:rsidR="000C30A8" w:rsidRPr="007C47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DAWKOWANIA</w:t>
            </w:r>
            <w:r w:rsidR="000C30A8" w:rsidRPr="007C47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LEKÓW</w:t>
            </w:r>
            <w:r w:rsidR="000C30A8" w:rsidRPr="007C47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0C30A8" w:rsidRPr="007C47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7C47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0C30A8" w:rsidRPr="007C47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PROGRAMIE</w:t>
            </w:r>
          </w:p>
        </w:tc>
        <w:tc>
          <w:tcPr>
            <w:tcW w:w="4295" w:type="dxa"/>
            <w:vAlign w:val="center"/>
          </w:tcPr>
          <w:p w14:paraId="3A8A70BA" w14:textId="76F3CF26" w:rsidR="00E1105B" w:rsidRPr="007C47A9" w:rsidRDefault="00E1105B" w:rsidP="007B3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BADANIA</w:t>
            </w:r>
            <w:r w:rsidR="000C30A8" w:rsidRPr="007C47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DIAGNOSTYCZNE</w:t>
            </w:r>
            <w:r w:rsidR="000C30A8" w:rsidRPr="007C47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WYKONYWANE</w:t>
            </w:r>
            <w:r w:rsidR="000C30A8" w:rsidRPr="007C47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0C30A8" w:rsidRPr="007C47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RAMACH</w:t>
            </w:r>
            <w:r w:rsidR="000C30A8" w:rsidRPr="007C47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PROGRAMU</w:t>
            </w:r>
          </w:p>
        </w:tc>
      </w:tr>
      <w:tr w:rsidR="00C058A9" w:rsidRPr="00646E8E" w14:paraId="038024C9" w14:textId="77777777" w:rsidTr="000C30A8">
        <w:trPr>
          <w:trHeight w:val="20"/>
        </w:trPr>
        <w:tc>
          <w:tcPr>
            <w:tcW w:w="6799" w:type="dxa"/>
          </w:tcPr>
          <w:p w14:paraId="67499126" w14:textId="726039FC" w:rsidR="00C754A7" w:rsidRPr="007C47A9" w:rsidRDefault="00C754A7" w:rsidP="00D41E4E">
            <w:pPr>
              <w:spacing w:before="12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udostępnia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01310" w:rsidRPr="007C47A9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0C525C2A" w14:textId="3A12A7F7" w:rsidR="00C754A7" w:rsidRPr="007C47A9" w:rsidRDefault="00C754A7" w:rsidP="00E7467A">
            <w:pPr>
              <w:pStyle w:val="Akapitzlist"/>
              <w:numPr>
                <w:ilvl w:val="3"/>
                <w:numId w:val="20"/>
              </w:num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dorosłym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pacjentom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3A1AA1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heterozygotyczną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hipercholesterolemią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rodzinną:</w:t>
            </w:r>
          </w:p>
          <w:p w14:paraId="4EA66650" w14:textId="6E178398" w:rsidR="00C754A7" w:rsidRPr="007C47A9" w:rsidRDefault="00C754A7" w:rsidP="00E7467A">
            <w:pPr>
              <w:pStyle w:val="Akapitzlist"/>
              <w:numPr>
                <w:ilvl w:val="4"/>
                <w:numId w:val="20"/>
              </w:numPr>
              <w:spacing w:line="276" w:lineRule="auto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proofErr w:type="spellStart"/>
            <w:r w:rsidRPr="007C47A9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alirokumab</w:t>
            </w:r>
            <w:r w:rsidR="00101310" w:rsidRPr="007C47A9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em</w:t>
            </w:r>
            <w:proofErr w:type="spellEnd"/>
            <w:r w:rsidRPr="007C47A9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,</w:t>
            </w:r>
          </w:p>
          <w:p w14:paraId="60AFE799" w14:textId="66B36C10" w:rsidR="00C754A7" w:rsidRPr="007C47A9" w:rsidRDefault="00C754A7" w:rsidP="00E7467A">
            <w:pPr>
              <w:pStyle w:val="Akapitzlist"/>
              <w:numPr>
                <w:ilvl w:val="4"/>
                <w:numId w:val="20"/>
              </w:numPr>
              <w:spacing w:line="276" w:lineRule="auto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proofErr w:type="spellStart"/>
            <w:r w:rsidRPr="007C47A9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ewolokuma</w:t>
            </w:r>
            <w:r w:rsidR="00101310" w:rsidRPr="007C47A9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bem</w:t>
            </w:r>
            <w:proofErr w:type="spellEnd"/>
            <w:r w:rsidRPr="007C47A9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,</w:t>
            </w:r>
          </w:p>
          <w:p w14:paraId="1991736A" w14:textId="50EED8AC" w:rsidR="00C754A7" w:rsidRPr="007C47A9" w:rsidRDefault="00C754A7" w:rsidP="00E7467A">
            <w:pPr>
              <w:pStyle w:val="Akapitzlist"/>
              <w:numPr>
                <w:ilvl w:val="4"/>
                <w:numId w:val="20"/>
              </w:numPr>
              <w:spacing w:line="276" w:lineRule="auto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proofErr w:type="spellStart"/>
            <w:r w:rsidRPr="007C47A9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inklisiran</w:t>
            </w:r>
            <w:r w:rsidR="00101310" w:rsidRPr="007C47A9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em</w:t>
            </w:r>
            <w:proofErr w:type="spellEnd"/>
            <w:r w:rsidRPr="007C47A9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,</w:t>
            </w:r>
          </w:p>
          <w:p w14:paraId="08729F01" w14:textId="645C2E22" w:rsidR="003A1AA1" w:rsidRPr="007C47A9" w:rsidRDefault="003A1AA1" w:rsidP="00E7467A">
            <w:pPr>
              <w:pStyle w:val="Akapitzlist"/>
              <w:numPr>
                <w:ilvl w:val="3"/>
                <w:numId w:val="20"/>
              </w:num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dorosłym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pacjentom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homozygotyczną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hipercholesterolemią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rodzinną:</w:t>
            </w:r>
          </w:p>
          <w:p w14:paraId="2576C9C9" w14:textId="30E14ACF" w:rsidR="00594C87" w:rsidRPr="007C47A9" w:rsidRDefault="003A1AA1" w:rsidP="00E7467A">
            <w:pPr>
              <w:pStyle w:val="Akapitzlist"/>
              <w:numPr>
                <w:ilvl w:val="4"/>
                <w:numId w:val="20"/>
              </w:numPr>
              <w:spacing w:line="276" w:lineRule="auto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proofErr w:type="spellStart"/>
            <w:r w:rsidRPr="007C47A9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lomitapid</w:t>
            </w:r>
            <w:r w:rsidR="00101310" w:rsidRPr="007C47A9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em</w:t>
            </w:r>
            <w:proofErr w:type="spellEnd"/>
            <w:r w:rsidRPr="007C47A9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,</w:t>
            </w:r>
          </w:p>
          <w:p w14:paraId="20B32AA1" w14:textId="3D7B27E5" w:rsidR="00146E87" w:rsidRPr="007C47A9" w:rsidRDefault="00146E87" w:rsidP="00E7467A">
            <w:pPr>
              <w:pStyle w:val="Akapitzlist"/>
              <w:numPr>
                <w:ilvl w:val="3"/>
                <w:numId w:val="20"/>
              </w:num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dorosłym pacjentom z homozygotyczną hipercholesterolemią rodzinną:</w:t>
            </w:r>
          </w:p>
          <w:p w14:paraId="240B1A16" w14:textId="3D620E8C" w:rsidR="00146E87" w:rsidRPr="007C47A9" w:rsidRDefault="00146E87" w:rsidP="00E7467A">
            <w:pPr>
              <w:pStyle w:val="Akapitzlist"/>
              <w:numPr>
                <w:ilvl w:val="4"/>
                <w:numId w:val="20"/>
              </w:numPr>
              <w:spacing w:line="276" w:lineRule="auto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proofErr w:type="spellStart"/>
            <w:r w:rsidRPr="007C47A9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ewolokumabem</w:t>
            </w:r>
            <w:proofErr w:type="spellEnd"/>
            <w:r w:rsidRPr="007C47A9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,</w:t>
            </w:r>
          </w:p>
          <w:p w14:paraId="7C056991" w14:textId="293ADFF1" w:rsidR="00C754A7" w:rsidRPr="007C47A9" w:rsidRDefault="00C754A7" w:rsidP="00E7467A">
            <w:pPr>
              <w:pStyle w:val="Akapitzlist"/>
              <w:numPr>
                <w:ilvl w:val="3"/>
                <w:numId w:val="20"/>
              </w:num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dorosłym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pacjentom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bardzo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wysokim</w:t>
            </w:r>
            <w:r w:rsidR="00ED5F2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 ekstremalnym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ryzykiem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chorób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układu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sercowo-naczyniowego:</w:t>
            </w:r>
          </w:p>
          <w:p w14:paraId="76AFEB7D" w14:textId="26AC7328" w:rsidR="00C754A7" w:rsidRPr="007C47A9" w:rsidRDefault="00C754A7" w:rsidP="00E7467A">
            <w:pPr>
              <w:pStyle w:val="Akapitzlist"/>
              <w:numPr>
                <w:ilvl w:val="4"/>
                <w:numId w:val="20"/>
              </w:numPr>
              <w:spacing w:line="276" w:lineRule="auto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proofErr w:type="spellStart"/>
            <w:r w:rsidRPr="007C47A9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alirokumab</w:t>
            </w:r>
            <w:r w:rsidR="00101310" w:rsidRPr="007C47A9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em</w:t>
            </w:r>
            <w:proofErr w:type="spellEnd"/>
            <w:r w:rsidRPr="007C47A9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,</w:t>
            </w:r>
          </w:p>
          <w:p w14:paraId="55EA1883" w14:textId="69E5A2EA" w:rsidR="00C754A7" w:rsidRPr="007C47A9" w:rsidRDefault="00C754A7" w:rsidP="00E7467A">
            <w:pPr>
              <w:pStyle w:val="Akapitzlist"/>
              <w:numPr>
                <w:ilvl w:val="4"/>
                <w:numId w:val="20"/>
              </w:numPr>
              <w:spacing w:line="276" w:lineRule="auto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proofErr w:type="spellStart"/>
            <w:r w:rsidRPr="007C47A9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ewolokumab</w:t>
            </w:r>
            <w:r w:rsidR="00101310" w:rsidRPr="007C47A9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em</w:t>
            </w:r>
            <w:proofErr w:type="spellEnd"/>
            <w:r w:rsidRPr="007C47A9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,</w:t>
            </w:r>
          </w:p>
          <w:p w14:paraId="10BB4E68" w14:textId="2342515F" w:rsidR="00C754A7" w:rsidRPr="007C47A9" w:rsidRDefault="00C754A7" w:rsidP="00E7467A">
            <w:pPr>
              <w:pStyle w:val="Akapitzlist"/>
              <w:numPr>
                <w:ilvl w:val="4"/>
                <w:numId w:val="20"/>
              </w:numPr>
              <w:spacing w:line="276" w:lineRule="auto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proofErr w:type="spellStart"/>
            <w:r w:rsidRPr="007C47A9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inklisiran</w:t>
            </w:r>
            <w:r w:rsidR="006164D4" w:rsidRPr="007C47A9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em</w:t>
            </w:r>
            <w:proofErr w:type="spellEnd"/>
            <w:r w:rsidRPr="007C47A9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,</w:t>
            </w:r>
          </w:p>
          <w:p w14:paraId="394EC0E7" w14:textId="18DCE366" w:rsidR="002840EF" w:rsidRPr="007C47A9" w:rsidRDefault="002840EF" w:rsidP="00E7467A">
            <w:pPr>
              <w:pStyle w:val="Akapitzlist"/>
              <w:numPr>
                <w:ilvl w:val="3"/>
                <w:numId w:val="20"/>
              </w:num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pediatrycznym pacjentom z homozygotyczną lub heterozygotyczną hipercholesterolemią rodzinną:</w:t>
            </w:r>
          </w:p>
          <w:p w14:paraId="1384E564" w14:textId="5BD32481" w:rsidR="002840EF" w:rsidRPr="007C47A9" w:rsidRDefault="002840EF" w:rsidP="00E7467A">
            <w:pPr>
              <w:pStyle w:val="Akapitzlist"/>
              <w:numPr>
                <w:ilvl w:val="4"/>
                <w:numId w:val="20"/>
              </w:numPr>
              <w:spacing w:line="276" w:lineRule="auto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proofErr w:type="spellStart"/>
            <w:r w:rsidRPr="007C47A9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ewolokumabem</w:t>
            </w:r>
            <w:proofErr w:type="spellEnd"/>
            <w:r w:rsidRPr="007C47A9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,</w:t>
            </w:r>
          </w:p>
          <w:p w14:paraId="469AF0CE" w14:textId="3DB59615" w:rsidR="00937E65" w:rsidRPr="007C47A9" w:rsidRDefault="00581C43" w:rsidP="00937E65">
            <w:pPr>
              <w:pStyle w:val="Akapitzlist"/>
              <w:numPr>
                <w:ilvl w:val="3"/>
                <w:numId w:val="20"/>
              </w:num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pediatrycznym pacjentom z heterozygotyczną hipercholesterolemią rodzinną:</w:t>
            </w:r>
          </w:p>
          <w:p w14:paraId="0EA115A9" w14:textId="7515140A" w:rsidR="00581C43" w:rsidRPr="007C47A9" w:rsidRDefault="00581C43" w:rsidP="00581C43">
            <w:pPr>
              <w:pStyle w:val="Akapitzlist"/>
              <w:numPr>
                <w:ilvl w:val="4"/>
                <w:numId w:val="20"/>
              </w:num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7C47A9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alirokumabem</w:t>
            </w:r>
            <w:proofErr w:type="spellEnd"/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20760F33" w14:textId="5261BECD" w:rsidR="00C754A7" w:rsidRPr="007C47A9" w:rsidRDefault="00C754A7" w:rsidP="00D41E4E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sz w:val="20"/>
                <w:szCs w:val="20"/>
                <w:u w:val="single"/>
              </w:rPr>
              <w:lastRenderedPageBreak/>
              <w:t>zgodnie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ze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wskazanymi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w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opisie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programu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warunkami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i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kryteriami.</w:t>
            </w:r>
          </w:p>
          <w:p w14:paraId="34DB3234" w14:textId="77777777" w:rsidR="00C7285E" w:rsidRPr="007C47A9" w:rsidRDefault="00C7285E" w:rsidP="00D41E4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8513E40" w14:textId="0CD93883" w:rsidR="00C7285E" w:rsidRPr="007C47A9" w:rsidRDefault="00C7285E" w:rsidP="00E7467A">
            <w:pPr>
              <w:numPr>
                <w:ilvl w:val="0"/>
                <w:numId w:val="19"/>
              </w:num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b/>
                <w:sz w:val="20"/>
                <w:szCs w:val="20"/>
              </w:rPr>
              <w:t>Kryteria</w:t>
            </w:r>
            <w:r w:rsidR="000C30A8" w:rsidRPr="007C47A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/>
                <w:sz w:val="20"/>
                <w:szCs w:val="20"/>
              </w:rPr>
              <w:t>kwalifikacji</w:t>
            </w:r>
          </w:p>
          <w:p w14:paraId="5FCE0E77" w14:textId="4D6D1A7A" w:rsidR="00C7285E" w:rsidRPr="007C47A9" w:rsidRDefault="00C7285E" w:rsidP="00E7467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Muszą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zostać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spełnione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łącznie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ogólne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(1.1.)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szczegółowe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(1.2.1.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1.2.2.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1.2.3.</w:t>
            </w:r>
            <w:r w:rsidR="002840EF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albo 1.2.4.</w:t>
            </w:r>
            <w:r w:rsidR="00146E87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albo 1.2.5.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dla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poszczególnych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terapii.</w:t>
            </w:r>
          </w:p>
          <w:p w14:paraId="7F0DD6C0" w14:textId="058CE5CF" w:rsidR="00C7285E" w:rsidRPr="007C47A9" w:rsidRDefault="00C7285E" w:rsidP="00E7467A">
            <w:pPr>
              <w:numPr>
                <w:ilvl w:val="1"/>
                <w:numId w:val="19"/>
              </w:num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b/>
                <w:sz w:val="20"/>
                <w:szCs w:val="20"/>
              </w:rPr>
              <w:t>Ogólne</w:t>
            </w:r>
            <w:r w:rsidR="000C30A8" w:rsidRPr="007C47A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/>
                <w:sz w:val="20"/>
                <w:szCs w:val="20"/>
              </w:rPr>
              <w:t>kryteria</w:t>
            </w:r>
            <w:r w:rsidR="000C30A8" w:rsidRPr="007C47A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/>
                <w:sz w:val="20"/>
                <w:szCs w:val="20"/>
              </w:rPr>
              <w:t>kwalifikacji</w:t>
            </w:r>
          </w:p>
          <w:p w14:paraId="50F476B0" w14:textId="16A716F4" w:rsidR="00C7285E" w:rsidRPr="007C47A9" w:rsidRDefault="00C7285E" w:rsidP="00E7467A">
            <w:pPr>
              <w:numPr>
                <w:ilvl w:val="3"/>
                <w:numId w:val="19"/>
              </w:num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wiek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18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lat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i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powyże</w:t>
            </w:r>
            <w:r w:rsidR="002840EF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j</w:t>
            </w:r>
            <w:r w:rsidR="002840EF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840EF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z wyjątkiem pacjentów spełniających kryteria włączenia do programu lekowego wymienione w podpunkcie 1.2.</w:t>
            </w:r>
            <w:r w:rsidR="00B5343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="002840EF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4D7A305A" w14:textId="0EE365C7" w:rsidR="00C7285E" w:rsidRPr="007C47A9" w:rsidRDefault="00C7285E" w:rsidP="00E7467A">
            <w:pPr>
              <w:numPr>
                <w:ilvl w:val="3"/>
                <w:numId w:val="19"/>
              </w:num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brak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hiperlipidemii</w:t>
            </w:r>
            <w:proofErr w:type="spellEnd"/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wtórnej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wyjątkiem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pacjentów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spełniających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kryteria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włączenia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do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programu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lekowego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wymienione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podpunkcie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1.2.</w:t>
            </w:r>
            <w:r w:rsidR="00B5343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.;</w:t>
            </w:r>
          </w:p>
          <w:p w14:paraId="639DD48B" w14:textId="251243DE" w:rsidR="00C7285E" w:rsidRPr="007C47A9" w:rsidRDefault="00C7285E" w:rsidP="00E7467A">
            <w:pPr>
              <w:numPr>
                <w:ilvl w:val="3"/>
                <w:numId w:val="19"/>
              </w:num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brak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homozygotycznej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postaci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hipercholesterolemii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rodzinnej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wyjątkiem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pacjentów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spełniających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kryteria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włączenia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do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programu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lekowego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wymienione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podpunkcie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1.2.2.</w:t>
            </w:r>
            <w:r w:rsidR="002840EF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B788E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albo</w:t>
            </w:r>
            <w:r w:rsidR="00B5343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1.2.3. </w:t>
            </w:r>
            <w:r w:rsidR="00DB788E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albo</w:t>
            </w:r>
            <w:r w:rsidR="002840EF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1.2.</w:t>
            </w:r>
            <w:r w:rsidR="00B5343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="002840EF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38EFCF42" w14:textId="2F5C9DC5" w:rsidR="00C7285E" w:rsidRPr="007C47A9" w:rsidRDefault="00C7285E" w:rsidP="00E7467A">
            <w:pPr>
              <w:numPr>
                <w:ilvl w:val="3"/>
                <w:numId w:val="19"/>
              </w:num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wykluczenie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ciąży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i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okresu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karmienia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piersią</w:t>
            </w:r>
            <w:r w:rsidR="002840EF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– dotyczy kobiet w wieku rozrodczym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62EEECFE" w14:textId="08FEA9A3" w:rsidR="00C7285E" w:rsidRPr="007C47A9" w:rsidRDefault="00C7285E" w:rsidP="00E7467A">
            <w:pPr>
              <w:numPr>
                <w:ilvl w:val="3"/>
                <w:numId w:val="19"/>
              </w:num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brak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przeciwwskazań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do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stosowania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leku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zgodnie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aktualną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Charakterystyką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Produktu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Leczniczego;</w:t>
            </w:r>
          </w:p>
          <w:p w14:paraId="3421D58C" w14:textId="479B97F1" w:rsidR="00C7285E" w:rsidRPr="007C47A9" w:rsidRDefault="00C7285E" w:rsidP="00E7467A">
            <w:pPr>
              <w:numPr>
                <w:ilvl w:val="3"/>
                <w:numId w:val="19"/>
              </w:num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nieobecność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istotnych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schorzeń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współistniejących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F5866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F5866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stanów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F5866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klinicznych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stanowiących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przeciwwskazanie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do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terapii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stwierdzonych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przez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lekarza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prowadzącego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oparciu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o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odpowiednie,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aktualne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Charakterystyki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Produktu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Leczniczego;</w:t>
            </w:r>
          </w:p>
          <w:p w14:paraId="110A3D59" w14:textId="2C8A2F95" w:rsidR="00C7285E" w:rsidRPr="007C47A9" w:rsidRDefault="00C7285E" w:rsidP="00E7467A">
            <w:pPr>
              <w:numPr>
                <w:ilvl w:val="3"/>
                <w:numId w:val="19"/>
              </w:num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adekwatna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wydolność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narządowa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określona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na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podstawie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wyników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badań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laboratoryjnych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krwi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umożliwiająca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opinii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lekarza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prowadzącego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bezpieczne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rozpoczęcie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terapii.</w:t>
            </w:r>
          </w:p>
          <w:p w14:paraId="1FC8851B" w14:textId="77777777" w:rsidR="00D74048" w:rsidRPr="007C47A9" w:rsidRDefault="00D74048" w:rsidP="00E7467A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145BE756" w14:textId="3D7FE70B" w:rsidR="00A5475A" w:rsidRPr="007C47A9" w:rsidRDefault="00A5475A" w:rsidP="005E234D">
            <w:pPr>
              <w:pStyle w:val="Akapitzlist"/>
              <w:numPr>
                <w:ilvl w:val="1"/>
                <w:numId w:val="19"/>
              </w:num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b/>
                <w:sz w:val="20"/>
                <w:szCs w:val="20"/>
              </w:rPr>
              <w:t>Szczegółowe</w:t>
            </w:r>
            <w:r w:rsidR="000C30A8" w:rsidRPr="007C47A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/>
                <w:sz w:val="20"/>
                <w:szCs w:val="20"/>
              </w:rPr>
              <w:t>kryteria</w:t>
            </w:r>
            <w:r w:rsidR="000C30A8" w:rsidRPr="007C47A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/>
                <w:sz w:val="20"/>
                <w:szCs w:val="20"/>
              </w:rPr>
              <w:t>kwalifikacji</w:t>
            </w:r>
            <w:r w:rsidR="000C30A8" w:rsidRPr="007C47A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/>
                <w:sz w:val="20"/>
                <w:szCs w:val="20"/>
              </w:rPr>
              <w:t>do</w:t>
            </w:r>
            <w:r w:rsidR="000C30A8" w:rsidRPr="007C47A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</w:p>
          <w:p w14:paraId="24C67907" w14:textId="393BFEE8" w:rsidR="00A5475A" w:rsidRPr="007C47A9" w:rsidRDefault="00A5475A" w:rsidP="005E234D">
            <w:pPr>
              <w:pStyle w:val="Akapitzlist"/>
              <w:numPr>
                <w:ilvl w:val="2"/>
                <w:numId w:val="19"/>
              </w:num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b/>
                <w:sz w:val="20"/>
                <w:szCs w:val="20"/>
              </w:rPr>
              <w:t>dorosłych</w:t>
            </w:r>
            <w:r w:rsidR="000C30A8" w:rsidRPr="007C47A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/>
                <w:sz w:val="20"/>
                <w:szCs w:val="20"/>
              </w:rPr>
              <w:t>pacjentów</w:t>
            </w:r>
            <w:r w:rsidR="000C30A8" w:rsidRPr="007C47A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/>
                <w:sz w:val="20"/>
                <w:szCs w:val="20"/>
              </w:rPr>
              <w:t>z</w:t>
            </w:r>
            <w:r w:rsidR="000C30A8" w:rsidRPr="007C47A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/>
                <w:sz w:val="20"/>
                <w:szCs w:val="20"/>
              </w:rPr>
              <w:t>heterozygotyczną</w:t>
            </w:r>
            <w:r w:rsidR="000C30A8" w:rsidRPr="007C47A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/>
                <w:sz w:val="20"/>
                <w:szCs w:val="20"/>
              </w:rPr>
              <w:t>hipercholesterolemią</w:t>
            </w:r>
            <w:r w:rsidR="000C30A8" w:rsidRPr="007C47A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/>
                <w:sz w:val="20"/>
                <w:szCs w:val="20"/>
              </w:rPr>
              <w:t>rodzinną</w:t>
            </w:r>
            <w:r w:rsidR="000C30A8" w:rsidRPr="007C47A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C47A9">
              <w:rPr>
                <w:rFonts w:ascii="Times New Roman" w:hAnsi="Times New Roman" w:cs="Times New Roman"/>
                <w:b/>
                <w:sz w:val="20"/>
                <w:szCs w:val="20"/>
              </w:rPr>
              <w:t>alirokumabem</w:t>
            </w:r>
            <w:proofErr w:type="spellEnd"/>
            <w:r w:rsidR="000C30A8" w:rsidRPr="007C47A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/>
                <w:sz w:val="20"/>
                <w:szCs w:val="20"/>
              </w:rPr>
              <w:t>lub</w:t>
            </w:r>
            <w:r w:rsidR="000C30A8" w:rsidRPr="007C47A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C47A9">
              <w:rPr>
                <w:rFonts w:ascii="Times New Roman" w:hAnsi="Times New Roman" w:cs="Times New Roman"/>
                <w:b/>
                <w:sz w:val="20"/>
                <w:szCs w:val="20"/>
              </w:rPr>
              <w:t>ewolokumabem</w:t>
            </w:r>
            <w:proofErr w:type="spellEnd"/>
            <w:r w:rsidR="000C30A8" w:rsidRPr="007C47A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/>
                <w:sz w:val="20"/>
                <w:szCs w:val="20"/>
              </w:rPr>
              <w:t>lub</w:t>
            </w:r>
            <w:r w:rsidR="000C30A8" w:rsidRPr="007C47A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C47A9">
              <w:rPr>
                <w:rFonts w:ascii="Times New Roman" w:hAnsi="Times New Roman" w:cs="Times New Roman"/>
                <w:b/>
                <w:sz w:val="20"/>
                <w:szCs w:val="20"/>
              </w:rPr>
              <w:t>inklisiranem</w:t>
            </w:r>
            <w:proofErr w:type="spellEnd"/>
          </w:p>
          <w:p w14:paraId="6D1DD084" w14:textId="075EE287" w:rsidR="00A5475A" w:rsidRPr="007C47A9" w:rsidRDefault="00A5475A" w:rsidP="005E234D">
            <w:pPr>
              <w:pStyle w:val="Akapitzlist"/>
              <w:numPr>
                <w:ilvl w:val="3"/>
                <w:numId w:val="19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potwierdzona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diagnoza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rodzinnej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heterozygotycznej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hipercholesterolemii,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tj.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punktów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skali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Dutch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Lipid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Clinic</w:t>
            </w:r>
            <w:proofErr w:type="spellEnd"/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Network</w:t>
            </w:r>
            <w:r w:rsidR="00C96AAB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(rekomendowane </w:t>
            </w:r>
            <w:r w:rsidR="00C96AAB" w:rsidRPr="007C47A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wykonanie badania genetycznego z diagnostyką kaskadową członków rodziny);</w:t>
            </w:r>
          </w:p>
          <w:p w14:paraId="6D8BA24B" w14:textId="4FCCF094" w:rsidR="00A43723" w:rsidRPr="007C47A9" w:rsidRDefault="00A5475A" w:rsidP="005E234D">
            <w:pPr>
              <w:pStyle w:val="Akapitzlist"/>
              <w:numPr>
                <w:ilvl w:val="3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LDL-C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A35BE" w:rsidRPr="007C47A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mg/dl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1A35BE" w:rsidRPr="007C47A9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mmol</w:t>
            </w:r>
            <w:proofErr w:type="spellEnd"/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/l)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4F652C6" w14:textId="5874D72E" w:rsidR="001A35BE" w:rsidRPr="007C47A9" w:rsidRDefault="001A35BE" w:rsidP="005E234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25D0574A" w14:textId="04364C83" w:rsidR="00AC4ECE" w:rsidRPr="007C47A9" w:rsidRDefault="001A35BE" w:rsidP="005E234D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LDL-C &gt;55 mg/dl (1,4 </w:t>
            </w:r>
            <w:proofErr w:type="spellStart"/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mmol</w:t>
            </w:r>
            <w:proofErr w:type="spellEnd"/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/l) w przypadku współistnienia innego</w:t>
            </w:r>
            <w:r w:rsidR="009364C5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poważnego czynnika ryzyka tj.:</w:t>
            </w:r>
            <w:r w:rsidR="0053215C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nadciśnienie tętnicze, otyłość (BMI ≥30 kg/m² lub obwód talii ≥ 80 cm</w:t>
            </w:r>
            <w:r w:rsidR="0053215C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u kobiet i ≥94 cm u mężczyzn)</w:t>
            </w:r>
            <w:r w:rsidR="009364C5" w:rsidRPr="007C47A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lipoproteina</w:t>
            </w:r>
            <w:proofErr w:type="spellEnd"/>
            <w:r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(a) &gt; 50 mg/</w:t>
            </w:r>
            <w:proofErr w:type="spellStart"/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dL</w:t>
            </w:r>
            <w:proofErr w:type="spellEnd"/>
            <w:r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321040" w:rsidRPr="007C47A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364C5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nmol</w:t>
            </w:r>
            <w:proofErr w:type="spellEnd"/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/l), cukrzyca typu 2 z poważnym uszkodzeniem narządowym,</w:t>
            </w:r>
            <w:r w:rsidR="009364C5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przewlekła choroba nerek z </w:t>
            </w:r>
            <w:proofErr w:type="spellStart"/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eGFR</w:t>
            </w:r>
            <w:proofErr w:type="spellEnd"/>
            <w:r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&lt; </w:t>
            </w:r>
            <w:r w:rsidR="003C2F4A" w:rsidRPr="007C47A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0 ml/min/1,73 m</w:t>
            </w:r>
            <w:r w:rsidRPr="007C47A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065352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324363" w:rsidRPr="007C47A9">
              <w:rPr>
                <w:rFonts w:ascii="Times New Roman" w:hAnsi="Times New Roman" w:cs="Times New Roman"/>
                <w:sz w:val="20"/>
                <w:szCs w:val="20"/>
              </w:rPr>
              <w:t>przebyty zabieg naczyniowy w obrębie tętnic wieńcowych, szyjnych, dogłowowych i obwodowych z powodu choroby miażdżycowej</w:t>
            </w:r>
            <w:r w:rsidR="00D46BC1" w:rsidRPr="007C47A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BD54307" w14:textId="0E328F1D" w:rsidR="00A5475A" w:rsidRPr="007C47A9" w:rsidRDefault="00AC4ECE" w:rsidP="005E234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="00A5475A" w:rsidRPr="007C47A9">
              <w:rPr>
                <w:rFonts w:ascii="Times New Roman" w:hAnsi="Times New Roman" w:cs="Times New Roman"/>
                <w:sz w:val="20"/>
                <w:szCs w:val="20"/>
              </w:rPr>
              <w:t>pomimo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7C47A9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7C47A9">
              <w:rPr>
                <w:rFonts w:ascii="Times New Roman" w:hAnsi="Times New Roman" w:cs="Times New Roman"/>
                <w:sz w:val="20"/>
                <w:szCs w:val="20"/>
              </w:rPr>
              <w:t>diety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7C47A9">
              <w:rPr>
                <w:rFonts w:ascii="Times New Roman" w:hAnsi="Times New Roman" w:cs="Times New Roman"/>
                <w:sz w:val="20"/>
                <w:szCs w:val="20"/>
              </w:rPr>
              <w:t>i:</w:t>
            </w:r>
          </w:p>
          <w:p w14:paraId="011724C7" w14:textId="23979062" w:rsidR="00905810" w:rsidRPr="007C47A9" w:rsidRDefault="00A5475A" w:rsidP="005E234D">
            <w:pPr>
              <w:pStyle w:val="Akapitzlist"/>
              <w:numPr>
                <w:ilvl w:val="4"/>
                <w:numId w:val="19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intensywnego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statynami</w:t>
            </w:r>
            <w:proofErr w:type="spellEnd"/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maksymalnych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tolerowanych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dawkach</w:t>
            </w:r>
            <w:r w:rsidR="00DC499B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oraz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2629F" w:rsidRPr="007C47A9">
              <w:rPr>
                <w:rFonts w:ascii="Times New Roman" w:hAnsi="Times New Roman" w:cs="Times New Roman"/>
                <w:sz w:val="20"/>
                <w:szCs w:val="20"/>
              </w:rPr>
              <w:t>statynami</w:t>
            </w:r>
            <w:proofErr w:type="spellEnd"/>
            <w:r w:rsidR="00F2629F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w maksymalnych tolerowanych dawkach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ezetymibem</w:t>
            </w:r>
            <w:proofErr w:type="spellEnd"/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E2B6C" w:rsidRPr="007C47A9">
              <w:rPr>
                <w:rFonts w:ascii="Times New Roman" w:hAnsi="Times New Roman" w:cs="Times New Roman"/>
                <w:sz w:val="20"/>
                <w:szCs w:val="20"/>
              </w:rPr>
              <w:t>(łączny czas leczenia co najmniej 6-8 tygodni, w tym leczenia skojarzonego minimum 1 miesiąc</w:t>
            </w:r>
            <w:r w:rsidR="00C31BED" w:rsidRPr="007C47A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905810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albo </w:t>
            </w:r>
            <w:r w:rsidR="00321040" w:rsidRPr="007C47A9">
              <w:rPr>
                <w:rFonts w:ascii="Times New Roman" w:hAnsi="Times New Roman" w:cs="Times New Roman"/>
                <w:sz w:val="20"/>
                <w:szCs w:val="20"/>
              </w:rPr>
              <w:t>natychmiastowe</w:t>
            </w:r>
            <w:r w:rsidR="00905810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stosowanie</w:t>
            </w:r>
            <w:r w:rsidR="00C31BED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terapii</w:t>
            </w:r>
            <w:r w:rsidR="00FF2267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22565" w:rsidRPr="007C47A9">
              <w:rPr>
                <w:rFonts w:ascii="Times New Roman" w:hAnsi="Times New Roman" w:cs="Times New Roman"/>
                <w:sz w:val="20"/>
                <w:szCs w:val="20"/>
              </w:rPr>
              <w:t>statynami</w:t>
            </w:r>
            <w:proofErr w:type="spellEnd"/>
            <w:r w:rsidR="00722565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w maksymalnych tolerowanych dawkach w skojarzeniu z </w:t>
            </w:r>
            <w:proofErr w:type="spellStart"/>
            <w:r w:rsidR="00722565" w:rsidRPr="007C47A9">
              <w:rPr>
                <w:rFonts w:ascii="Times New Roman" w:hAnsi="Times New Roman" w:cs="Times New Roman"/>
                <w:sz w:val="20"/>
                <w:szCs w:val="20"/>
              </w:rPr>
              <w:t>ezetymibem</w:t>
            </w:r>
            <w:proofErr w:type="spellEnd"/>
            <w:r w:rsidR="00FF2267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05810" w:rsidRPr="007C47A9">
              <w:rPr>
                <w:rFonts w:ascii="Times New Roman" w:hAnsi="Times New Roman" w:cs="Times New Roman"/>
                <w:sz w:val="20"/>
                <w:szCs w:val="20"/>
              </w:rPr>
              <w:t>w pierwszym rzucie leczenia (</w:t>
            </w:r>
            <w:r w:rsidR="00321040" w:rsidRPr="007C47A9">
              <w:rPr>
                <w:rFonts w:ascii="Times New Roman" w:hAnsi="Times New Roman" w:cs="Times New Roman"/>
                <w:sz w:val="20"/>
                <w:szCs w:val="20"/>
              </w:rPr>
              <w:t>łączny czas leczenia co najmniej 6-8 tygodni</w:t>
            </w:r>
            <w:r w:rsidR="00905810" w:rsidRPr="007C47A9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14:paraId="2F792CC0" w14:textId="1AA5A161" w:rsidR="00A5475A" w:rsidRPr="007C47A9" w:rsidRDefault="00905810" w:rsidP="005E234D">
            <w:pPr>
              <w:pStyle w:val="Akapitzlist"/>
              <w:spacing w:line="276" w:lineRule="auto"/>
              <w:ind w:left="680"/>
              <w:rPr>
                <w:rFonts w:ascii="Times New Roman" w:hAnsi="Times New Roman" w:cs="Times New Roman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Konieczne jest </w:t>
            </w:r>
            <w:r w:rsidR="00B13139" w:rsidRPr="007C47A9">
              <w:rPr>
                <w:rFonts w:ascii="Times New Roman" w:hAnsi="Times New Roman" w:cs="Times New Roman"/>
                <w:sz w:val="20"/>
                <w:szCs w:val="20"/>
              </w:rPr>
              <w:t>udokumentowan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B13139" w:rsidRPr="007C47A9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zachowania prawidłowego </w:t>
            </w:r>
            <w:proofErr w:type="spellStart"/>
            <w:r w:rsidRPr="007C47A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compliance</w:t>
            </w:r>
            <w:proofErr w:type="spellEnd"/>
            <w:r w:rsidR="00B13139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na podstawie realizacji recept </w:t>
            </w:r>
            <w:r w:rsidR="00E948A5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w </w:t>
            </w:r>
            <w:r w:rsidR="00B13139" w:rsidRPr="007C47A9">
              <w:rPr>
                <w:rFonts w:ascii="Times New Roman" w:hAnsi="Times New Roman" w:cs="Times New Roman"/>
                <w:sz w:val="20"/>
                <w:szCs w:val="20"/>
              </w:rPr>
              <w:t>IKP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6B686FC" w14:textId="77777777" w:rsidR="00A5475A" w:rsidRPr="007C47A9" w:rsidRDefault="00A5475A" w:rsidP="005E234D">
            <w:pPr>
              <w:pStyle w:val="Akapitzlist"/>
              <w:spacing w:line="276" w:lineRule="auto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34CCE12C" w14:textId="5F2CC40D" w:rsidR="00517E64" w:rsidRPr="007C47A9" w:rsidRDefault="00A5475A" w:rsidP="005E234D">
            <w:pPr>
              <w:pStyle w:val="Akapitzlist"/>
              <w:numPr>
                <w:ilvl w:val="4"/>
                <w:numId w:val="19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pacjenci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całkowitą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nietolerancją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statyn</w:t>
            </w:r>
            <w:proofErr w:type="spellEnd"/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definiowaną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obowiązujących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wytycznych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towarzystw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naukowych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zakresie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diagnostyki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zaburzeń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lipidowych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(PTL/KLRWP/PTK/PTDL/PTD/PTNT),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jako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udokumentowany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tolerancji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statyn</w:t>
            </w:r>
            <w:proofErr w:type="spellEnd"/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jednej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najmniejszej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początkowej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dawce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drugiej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dowolnej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dostępnej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dawce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(okres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statynami</w:t>
            </w:r>
            <w:proofErr w:type="spellEnd"/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ustalony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prowadzącego,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ale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krótszy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miesiące)</w:t>
            </w:r>
            <w:r w:rsidR="00B21994" w:rsidRPr="007C47A9">
              <w:rPr>
                <w:rFonts w:ascii="Times New Roman" w:hAnsi="Times New Roman" w:cs="Times New Roman"/>
                <w:sz w:val="20"/>
                <w:szCs w:val="20"/>
              </w:rPr>
              <w:t>, w przypadku objawów mięśniowych potwierdzony wynikiem w skali SAMS (9–11</w:t>
            </w:r>
            <w:r w:rsidR="009D4A94" w:rsidRPr="007C47A9">
              <w:rPr>
                <w:rFonts w:ascii="Times New Roman" w:hAnsi="Times New Roman" w:cs="Times New Roman"/>
                <w:sz w:val="20"/>
                <w:szCs w:val="20"/>
              </w:rPr>
              <w:t>pkt.);</w:t>
            </w:r>
          </w:p>
          <w:p w14:paraId="13CF7510" w14:textId="2469FA1A" w:rsidR="00517E64" w:rsidRPr="007C47A9" w:rsidRDefault="00517E64" w:rsidP="005E234D">
            <w:pPr>
              <w:pStyle w:val="Akapitzlist"/>
              <w:spacing w:line="276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albo</w:t>
            </w:r>
          </w:p>
          <w:p w14:paraId="33654518" w14:textId="4E1317AD" w:rsidR="00A5475A" w:rsidRPr="007C47A9" w:rsidRDefault="00517E64" w:rsidP="005E234D">
            <w:pPr>
              <w:pStyle w:val="Akapitzlist"/>
              <w:numPr>
                <w:ilvl w:val="3"/>
                <w:numId w:val="19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pacjenci, z heterozygotyczną hipercholesterolemią rodzinną</w:t>
            </w:r>
            <w:r w:rsidR="0079112E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leczeni </w:t>
            </w:r>
            <w:proofErr w:type="spellStart"/>
            <w:r w:rsidR="0079112E" w:rsidRPr="007C47A9">
              <w:rPr>
                <w:rFonts w:ascii="Times New Roman" w:hAnsi="Times New Roman" w:cs="Times New Roman"/>
                <w:sz w:val="20"/>
                <w:szCs w:val="20"/>
              </w:rPr>
              <w:t>ewolokumabem</w:t>
            </w:r>
            <w:proofErr w:type="spellEnd"/>
            <w:r w:rsidR="000B4D21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lub </w:t>
            </w:r>
            <w:proofErr w:type="spellStart"/>
            <w:r w:rsidR="000B4D21" w:rsidRPr="007C47A9">
              <w:rPr>
                <w:rFonts w:ascii="Times New Roman" w:hAnsi="Times New Roman" w:cs="Times New Roman"/>
                <w:sz w:val="20"/>
                <w:szCs w:val="20"/>
              </w:rPr>
              <w:t>alirokumabem</w:t>
            </w:r>
            <w:proofErr w:type="spellEnd"/>
            <w:r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zakwalifikowani do programu lekowego zgodnie z podpunktem 1.2.</w:t>
            </w:r>
            <w:r w:rsidR="00C20183" w:rsidRPr="007C47A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. po osiągnięciu pełnoletniości</w:t>
            </w:r>
            <w:r w:rsidR="0079112E" w:rsidRPr="007C47A9">
              <w:rPr>
                <w:rFonts w:ascii="Times New Roman" w:hAnsi="Times New Roman" w:cs="Times New Roman"/>
                <w:sz w:val="20"/>
                <w:szCs w:val="20"/>
              </w:rPr>
              <w:t>, którzy podlegają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przeniesieniu leczenia do ośrodka dla dorosłych</w:t>
            </w:r>
            <w:r w:rsidR="0079112E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bez konieczności spełnienia kryteriów </w:t>
            </w:r>
            <w:r w:rsidR="0079112E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ogólnych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79112E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(1.1.).</w:t>
            </w:r>
          </w:p>
          <w:p w14:paraId="4F187180" w14:textId="6CE0A363" w:rsidR="00A5475A" w:rsidRPr="007C47A9" w:rsidRDefault="006E6AF2" w:rsidP="005E234D">
            <w:pPr>
              <w:pStyle w:val="Akapitzlist"/>
              <w:numPr>
                <w:ilvl w:val="2"/>
                <w:numId w:val="19"/>
              </w:numPr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dorosłych</w:t>
            </w:r>
            <w:r w:rsidR="000C30A8" w:rsidRPr="007C47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pacjentów</w:t>
            </w:r>
            <w:r w:rsidR="000C30A8" w:rsidRPr="007C47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</w:t>
            </w:r>
            <w:r w:rsidR="000C30A8" w:rsidRPr="007C47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homozygotyczną</w:t>
            </w:r>
            <w:r w:rsidR="000C30A8" w:rsidRPr="007C47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hipercholesterolemią</w:t>
            </w:r>
            <w:r w:rsidR="000C30A8" w:rsidRPr="007C47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rodzinną</w:t>
            </w:r>
            <w:r w:rsidR="000C30A8" w:rsidRPr="007C47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C47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lomitapidem</w:t>
            </w:r>
            <w:proofErr w:type="spellEnd"/>
          </w:p>
          <w:p w14:paraId="29D55A62" w14:textId="5C46F0EB" w:rsidR="006E6AF2" w:rsidRPr="007C47A9" w:rsidRDefault="006E6AF2" w:rsidP="005E234D">
            <w:pPr>
              <w:pStyle w:val="Akapitzlist"/>
              <w:numPr>
                <w:ilvl w:val="3"/>
                <w:numId w:val="19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potwierdzona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diagnoza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homozygotycznej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hipercholesterolemii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rodzinnej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903CC" w:rsidRPr="007C47A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="005903CC" w:rsidRPr="007C47A9">
              <w:rPr>
                <w:rFonts w:ascii="Times New Roman" w:hAnsi="Times New Roman" w:cs="Times New Roman"/>
                <w:sz w:val="20"/>
                <w:szCs w:val="20"/>
              </w:rPr>
              <w:t>HoFH</w:t>
            </w:r>
            <w:proofErr w:type="spellEnd"/>
            <w:r w:rsidR="005903CC" w:rsidRPr="007C47A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903CC" w:rsidRPr="007C47A9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903CC" w:rsidRPr="007C47A9">
              <w:rPr>
                <w:rFonts w:ascii="Times New Roman" w:hAnsi="Times New Roman" w:cs="Times New Roman"/>
                <w:sz w:val="20"/>
                <w:szCs w:val="20"/>
              </w:rPr>
              <w:t>podstawie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903CC" w:rsidRPr="007C47A9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903CC" w:rsidRPr="007C47A9">
              <w:rPr>
                <w:rFonts w:ascii="Times New Roman" w:hAnsi="Times New Roman" w:cs="Times New Roman"/>
                <w:sz w:val="20"/>
                <w:szCs w:val="20"/>
              </w:rPr>
              <w:t>genetycznego;</w:t>
            </w:r>
          </w:p>
          <w:p w14:paraId="228455E5" w14:textId="4D890E5A" w:rsidR="00C94FB4" w:rsidRPr="007C47A9" w:rsidRDefault="00C94FB4" w:rsidP="005E234D">
            <w:pPr>
              <w:pStyle w:val="Akapitzlist"/>
              <w:numPr>
                <w:ilvl w:val="3"/>
                <w:numId w:val="19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innych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postaci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hipercholesterolemii;</w:t>
            </w:r>
          </w:p>
          <w:p w14:paraId="40F623B5" w14:textId="5B78BE0F" w:rsidR="006E6AF2" w:rsidRPr="007C47A9" w:rsidRDefault="005903CC" w:rsidP="005E234D">
            <w:pPr>
              <w:pStyle w:val="Akapitzlist"/>
              <w:numPr>
                <w:ilvl w:val="3"/>
                <w:numId w:val="19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spełnienie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LDL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aferezą,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już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leczonych,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spełnienie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tych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momencie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rozpoczynania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LDL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aferezą;</w:t>
            </w:r>
          </w:p>
          <w:p w14:paraId="6A0D5620" w14:textId="577E8E2D" w:rsidR="00B64A42" w:rsidRPr="007C47A9" w:rsidRDefault="00B64A42" w:rsidP="005E234D">
            <w:pPr>
              <w:pStyle w:val="Akapitzlist"/>
              <w:numPr>
                <w:ilvl w:val="3"/>
                <w:numId w:val="19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zgoda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prowadzenie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antykoncepcji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odpowiednią,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aktualną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Charakterystyką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Leczniczego</w:t>
            </w:r>
            <w:r w:rsidR="00716FE8" w:rsidRPr="007C47A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38562DA" w14:textId="462C418A" w:rsidR="005903CC" w:rsidRPr="00387D60" w:rsidRDefault="005903CC" w:rsidP="005E234D">
            <w:pPr>
              <w:pStyle w:val="Akapitzlist"/>
              <w:numPr>
                <w:ilvl w:val="3"/>
                <w:numId w:val="19"/>
              </w:numPr>
              <w:spacing w:line="276" w:lineRule="auto"/>
            </w:pP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LDL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aferezą: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LDL-C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mg/dl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(2,5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mmol</w:t>
            </w:r>
            <w:proofErr w:type="spellEnd"/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/l)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pomimo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diety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i:</w:t>
            </w:r>
          </w:p>
          <w:p w14:paraId="60385561" w14:textId="5413061D" w:rsidR="006875D7" w:rsidRPr="006875D7" w:rsidRDefault="005903CC" w:rsidP="005E234D">
            <w:pPr>
              <w:pStyle w:val="Akapitzlist"/>
              <w:numPr>
                <w:ilvl w:val="4"/>
                <w:numId w:val="19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intensywnego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statynami</w:t>
            </w:r>
            <w:proofErr w:type="spellEnd"/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maksymalnych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tolerowanych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dawkach</w:t>
            </w:r>
            <w:r w:rsidR="00387D60">
              <w:t xml:space="preserve"> </w:t>
            </w:r>
            <w:r w:rsidR="00387D60" w:rsidRPr="00387D60">
              <w:rPr>
                <w:rFonts w:ascii="Times New Roman" w:hAnsi="Times New Roman" w:cs="Times New Roman"/>
                <w:sz w:val="20"/>
                <w:szCs w:val="20"/>
              </w:rPr>
              <w:t xml:space="preserve">oraz </w:t>
            </w:r>
            <w:proofErr w:type="spellStart"/>
            <w:r w:rsidR="00387D60" w:rsidRPr="00387D60">
              <w:rPr>
                <w:rFonts w:ascii="Times New Roman" w:hAnsi="Times New Roman" w:cs="Times New Roman"/>
                <w:sz w:val="20"/>
                <w:szCs w:val="20"/>
              </w:rPr>
              <w:t>statynami</w:t>
            </w:r>
            <w:proofErr w:type="spellEnd"/>
            <w:r w:rsidR="00387D60" w:rsidRPr="00387D60">
              <w:rPr>
                <w:rFonts w:ascii="Times New Roman" w:hAnsi="Times New Roman" w:cs="Times New Roman"/>
                <w:sz w:val="20"/>
                <w:szCs w:val="20"/>
              </w:rPr>
              <w:t xml:space="preserve"> w maksymalnych tolerowanych dawkach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ezetymibem</w:t>
            </w:r>
            <w:proofErr w:type="spellEnd"/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875D7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6875D7" w:rsidRPr="006875D7">
              <w:rPr>
                <w:rFonts w:ascii="Times New Roman" w:hAnsi="Times New Roman" w:cs="Times New Roman"/>
                <w:sz w:val="20"/>
                <w:szCs w:val="20"/>
              </w:rPr>
              <w:t>łączny czas leczenia co najmniej 6-8 tygodni, w tym leczenia skojarzonego minimum 1 miesiąc</w:t>
            </w:r>
            <w:r w:rsidR="006875D7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="006875D7" w:rsidRPr="006875D7">
              <w:rPr>
                <w:rFonts w:ascii="Times New Roman" w:hAnsi="Times New Roman" w:cs="Times New Roman"/>
                <w:sz w:val="20"/>
                <w:szCs w:val="20"/>
              </w:rPr>
              <w:t xml:space="preserve">albo natychmiastowe stosowanie terapii </w:t>
            </w:r>
            <w:proofErr w:type="spellStart"/>
            <w:r w:rsidR="006875D7" w:rsidRPr="006875D7">
              <w:rPr>
                <w:rFonts w:ascii="Times New Roman" w:hAnsi="Times New Roman" w:cs="Times New Roman"/>
                <w:sz w:val="20"/>
                <w:szCs w:val="20"/>
              </w:rPr>
              <w:t>statynami</w:t>
            </w:r>
            <w:proofErr w:type="spellEnd"/>
            <w:r w:rsidR="006875D7" w:rsidRPr="006875D7">
              <w:rPr>
                <w:rFonts w:ascii="Times New Roman" w:hAnsi="Times New Roman" w:cs="Times New Roman"/>
                <w:sz w:val="20"/>
                <w:szCs w:val="20"/>
              </w:rPr>
              <w:t xml:space="preserve"> w maksymalnych tolerowanych dawkach w skojarzeniu z </w:t>
            </w:r>
            <w:proofErr w:type="spellStart"/>
            <w:r w:rsidR="006875D7" w:rsidRPr="006875D7">
              <w:rPr>
                <w:rFonts w:ascii="Times New Roman" w:hAnsi="Times New Roman" w:cs="Times New Roman"/>
                <w:sz w:val="20"/>
                <w:szCs w:val="20"/>
              </w:rPr>
              <w:t>ezetymibem</w:t>
            </w:r>
            <w:proofErr w:type="spellEnd"/>
            <w:r w:rsidR="006875D7" w:rsidRPr="006875D7">
              <w:rPr>
                <w:rFonts w:ascii="Times New Roman" w:hAnsi="Times New Roman" w:cs="Times New Roman"/>
                <w:sz w:val="20"/>
                <w:szCs w:val="20"/>
              </w:rPr>
              <w:t xml:space="preserve"> w pierwszym rzucie leczenia (łączny czas leczenia co najmniej 6-8 tygodni).</w:t>
            </w:r>
          </w:p>
          <w:p w14:paraId="757EF03C" w14:textId="1C6E10E6" w:rsidR="00387D60" w:rsidRPr="006A13C2" w:rsidRDefault="006875D7" w:rsidP="005E234D">
            <w:pPr>
              <w:pStyle w:val="Akapitzlist"/>
              <w:spacing w:line="276" w:lineRule="auto"/>
              <w:ind w:left="680"/>
              <w:rPr>
                <w:rFonts w:ascii="Times New Roman" w:hAnsi="Times New Roman" w:cs="Times New Roman"/>
                <w:sz w:val="20"/>
                <w:szCs w:val="20"/>
              </w:rPr>
            </w:pPr>
            <w:r w:rsidRPr="006875D7">
              <w:rPr>
                <w:rFonts w:ascii="Times New Roman" w:hAnsi="Times New Roman" w:cs="Times New Roman"/>
                <w:sz w:val="20"/>
                <w:szCs w:val="20"/>
              </w:rPr>
              <w:t xml:space="preserve">Konieczne jest udokumentowanie zachowania prawidłowego </w:t>
            </w:r>
            <w:proofErr w:type="spellStart"/>
            <w:r w:rsidRPr="006875D7">
              <w:rPr>
                <w:rFonts w:ascii="Times New Roman" w:hAnsi="Times New Roman" w:cs="Times New Roman"/>
                <w:sz w:val="20"/>
                <w:szCs w:val="20"/>
              </w:rPr>
              <w:t>compliance</w:t>
            </w:r>
            <w:proofErr w:type="spellEnd"/>
            <w:r w:rsidRPr="006875D7">
              <w:rPr>
                <w:rFonts w:ascii="Times New Roman" w:hAnsi="Times New Roman" w:cs="Times New Roman"/>
                <w:sz w:val="20"/>
                <w:szCs w:val="20"/>
              </w:rPr>
              <w:t xml:space="preserve"> na podstawie realizacji recept w IKP.</w:t>
            </w:r>
          </w:p>
          <w:p w14:paraId="69AE0736" w14:textId="2F353566" w:rsidR="006E08AC" w:rsidRPr="007C47A9" w:rsidRDefault="006E08AC" w:rsidP="005E234D">
            <w:pPr>
              <w:pStyle w:val="Akapitzlist"/>
              <w:spacing w:line="276" w:lineRule="auto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2DFDCC7A" w14:textId="3A29E19F" w:rsidR="006E08AC" w:rsidRPr="007C47A9" w:rsidRDefault="006E08AC" w:rsidP="005E234D">
            <w:pPr>
              <w:pStyle w:val="Akapitzlist"/>
              <w:numPr>
                <w:ilvl w:val="4"/>
                <w:numId w:val="19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pacjenci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całkowitą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nietolerancją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statyn</w:t>
            </w:r>
            <w:proofErr w:type="spellEnd"/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definiowaną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obowiązujących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wytycznych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towarzystw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naukowych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zakresie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diagnostyki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zaburzeń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lipidowych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(PTL/KLRWP/PTK/PTDL/PTD/PTNT),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jako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udokumentowany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tolerancji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statyn</w:t>
            </w:r>
            <w:proofErr w:type="spellEnd"/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jednej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najmniejszej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początkowej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dawce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drugiej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dowolnej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dostępnej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dawce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(okres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statynami</w:t>
            </w:r>
            <w:proofErr w:type="spellEnd"/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ustalony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prowadzącego,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ale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krótszy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miesiące)</w:t>
            </w:r>
            <w:r w:rsidR="0070062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0062D" w:rsidRPr="0070062D">
              <w:rPr>
                <w:rFonts w:ascii="Times New Roman" w:hAnsi="Times New Roman" w:cs="Times New Roman"/>
                <w:sz w:val="20"/>
                <w:szCs w:val="20"/>
              </w:rPr>
              <w:t>w przypadku objawów mięśniowych potwierdzony wynikiem w skali SAMS (9–11pkt.)</w:t>
            </w:r>
            <w:r w:rsidR="002153D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2082093" w14:textId="6600C738" w:rsidR="00B53438" w:rsidRPr="007C47A9" w:rsidRDefault="00B53438" w:rsidP="005E234D">
            <w:pPr>
              <w:pStyle w:val="Akapitzlist"/>
              <w:numPr>
                <w:ilvl w:val="2"/>
                <w:numId w:val="19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dorosłych pacjentów z homozygotyczną hipercholesterolemią rodzinną </w:t>
            </w:r>
            <w:proofErr w:type="spellStart"/>
            <w:r w:rsidRPr="007C47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ewolokumabem</w:t>
            </w:r>
            <w:proofErr w:type="spellEnd"/>
          </w:p>
          <w:p w14:paraId="4339AF8E" w14:textId="465D93FD" w:rsidR="00B53438" w:rsidRPr="007C47A9" w:rsidRDefault="00B53438" w:rsidP="005E234D">
            <w:pPr>
              <w:pStyle w:val="Akapitzlist"/>
              <w:numPr>
                <w:ilvl w:val="3"/>
                <w:numId w:val="19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potwierdzona diagnoza homozygotycznej hipercholesterolemii rodzinnej </w:t>
            </w:r>
            <w:r w:rsidR="005B7E77" w:rsidRPr="007C47A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="005B7E77" w:rsidRPr="007C47A9">
              <w:rPr>
                <w:rFonts w:ascii="Times New Roman" w:hAnsi="Times New Roman" w:cs="Times New Roman"/>
                <w:sz w:val="20"/>
                <w:szCs w:val="20"/>
              </w:rPr>
              <w:t>HoFH</w:t>
            </w:r>
            <w:proofErr w:type="spellEnd"/>
            <w:r w:rsidR="005B7E77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na podstawie </w:t>
            </w:r>
            <w:r w:rsidR="005B7E77" w:rsidRPr="007C47A9">
              <w:rPr>
                <w:rFonts w:ascii="Times New Roman" w:hAnsi="Times New Roman" w:cs="Times New Roman"/>
                <w:sz w:val="20"/>
                <w:szCs w:val="20"/>
              </w:rPr>
              <w:t>badania genetycznego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7A7E8DA" w14:textId="1A7738D1" w:rsidR="00B53438" w:rsidRPr="007C47A9" w:rsidRDefault="00B53438" w:rsidP="005E234D">
            <w:pPr>
              <w:pStyle w:val="Akapitzlist"/>
              <w:numPr>
                <w:ilvl w:val="3"/>
                <w:numId w:val="19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LDL-C &gt; 100 mg/dl (2,5 </w:t>
            </w:r>
            <w:proofErr w:type="spellStart"/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mmol</w:t>
            </w:r>
            <w:proofErr w:type="spellEnd"/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/l) pomimo stosowania diety i:</w:t>
            </w:r>
          </w:p>
          <w:p w14:paraId="40B89451" w14:textId="77777777" w:rsidR="0072578B" w:rsidRPr="0072578B" w:rsidRDefault="0072578B" w:rsidP="005E234D">
            <w:pPr>
              <w:pStyle w:val="Akapitzlist"/>
              <w:numPr>
                <w:ilvl w:val="4"/>
                <w:numId w:val="19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578B">
              <w:rPr>
                <w:rFonts w:ascii="Times New Roman" w:hAnsi="Times New Roman" w:cs="Times New Roman"/>
                <w:sz w:val="20"/>
                <w:szCs w:val="20"/>
              </w:rPr>
              <w:t xml:space="preserve">intensywnego leczenia </w:t>
            </w:r>
            <w:proofErr w:type="spellStart"/>
            <w:r w:rsidRPr="0072578B">
              <w:rPr>
                <w:rFonts w:ascii="Times New Roman" w:hAnsi="Times New Roman" w:cs="Times New Roman"/>
                <w:sz w:val="20"/>
                <w:szCs w:val="20"/>
              </w:rPr>
              <w:t>statynami</w:t>
            </w:r>
            <w:proofErr w:type="spellEnd"/>
            <w:r w:rsidRPr="0072578B">
              <w:rPr>
                <w:rFonts w:ascii="Times New Roman" w:hAnsi="Times New Roman" w:cs="Times New Roman"/>
                <w:sz w:val="20"/>
                <w:szCs w:val="20"/>
              </w:rPr>
              <w:t xml:space="preserve"> w maksymalnych tolerowanych dawkach oraz </w:t>
            </w:r>
            <w:proofErr w:type="spellStart"/>
            <w:r w:rsidRPr="0072578B">
              <w:rPr>
                <w:rFonts w:ascii="Times New Roman" w:hAnsi="Times New Roman" w:cs="Times New Roman"/>
                <w:sz w:val="20"/>
                <w:szCs w:val="20"/>
              </w:rPr>
              <w:t>statynami</w:t>
            </w:r>
            <w:proofErr w:type="spellEnd"/>
            <w:r w:rsidRPr="0072578B">
              <w:rPr>
                <w:rFonts w:ascii="Times New Roman" w:hAnsi="Times New Roman" w:cs="Times New Roman"/>
                <w:sz w:val="20"/>
                <w:szCs w:val="20"/>
              </w:rPr>
              <w:t xml:space="preserve"> w maksymalnych tolerowanych dawkach w skojarzeniu z </w:t>
            </w:r>
            <w:proofErr w:type="spellStart"/>
            <w:r w:rsidRPr="0072578B">
              <w:rPr>
                <w:rFonts w:ascii="Times New Roman" w:hAnsi="Times New Roman" w:cs="Times New Roman"/>
                <w:sz w:val="20"/>
                <w:szCs w:val="20"/>
              </w:rPr>
              <w:t>ezetymibem</w:t>
            </w:r>
            <w:proofErr w:type="spellEnd"/>
            <w:r w:rsidRPr="0072578B">
              <w:rPr>
                <w:rFonts w:ascii="Times New Roman" w:hAnsi="Times New Roman" w:cs="Times New Roman"/>
                <w:sz w:val="20"/>
                <w:szCs w:val="20"/>
              </w:rPr>
              <w:t xml:space="preserve"> (łączny czas leczenia co najmniej 6-8 tygodni, w tym leczenia skojarzonego minimum 1 miesiąc) albo natychmiastowe stosowanie terapii </w:t>
            </w:r>
            <w:proofErr w:type="spellStart"/>
            <w:r w:rsidRPr="0072578B">
              <w:rPr>
                <w:rFonts w:ascii="Times New Roman" w:hAnsi="Times New Roman" w:cs="Times New Roman"/>
                <w:sz w:val="20"/>
                <w:szCs w:val="20"/>
              </w:rPr>
              <w:t>statynami</w:t>
            </w:r>
            <w:proofErr w:type="spellEnd"/>
            <w:r w:rsidRPr="0072578B">
              <w:rPr>
                <w:rFonts w:ascii="Times New Roman" w:hAnsi="Times New Roman" w:cs="Times New Roman"/>
                <w:sz w:val="20"/>
                <w:szCs w:val="20"/>
              </w:rPr>
              <w:t xml:space="preserve"> w maksymalnych tolerowanych dawkach w skojarzeniu z </w:t>
            </w:r>
            <w:proofErr w:type="spellStart"/>
            <w:r w:rsidRPr="0072578B">
              <w:rPr>
                <w:rFonts w:ascii="Times New Roman" w:hAnsi="Times New Roman" w:cs="Times New Roman"/>
                <w:sz w:val="20"/>
                <w:szCs w:val="20"/>
              </w:rPr>
              <w:t>ezetymibem</w:t>
            </w:r>
            <w:proofErr w:type="spellEnd"/>
            <w:r w:rsidRPr="0072578B">
              <w:rPr>
                <w:rFonts w:ascii="Times New Roman" w:hAnsi="Times New Roman" w:cs="Times New Roman"/>
                <w:sz w:val="20"/>
                <w:szCs w:val="20"/>
              </w:rPr>
              <w:t xml:space="preserve"> w pierwszym rzucie leczenia (łączny czas leczenia co najmniej 6-8 tygodni).</w:t>
            </w:r>
          </w:p>
          <w:p w14:paraId="35434C86" w14:textId="4739635D" w:rsidR="00B53438" w:rsidRPr="007C47A9" w:rsidRDefault="0072578B" w:rsidP="005E234D">
            <w:pPr>
              <w:pStyle w:val="Akapitzlist"/>
              <w:spacing w:line="276" w:lineRule="auto"/>
              <w:ind w:left="680"/>
              <w:rPr>
                <w:rFonts w:ascii="Times New Roman" w:hAnsi="Times New Roman" w:cs="Times New Roman"/>
                <w:sz w:val="20"/>
                <w:szCs w:val="20"/>
              </w:rPr>
            </w:pPr>
            <w:r w:rsidRPr="0072578B">
              <w:rPr>
                <w:rFonts w:ascii="Times New Roman" w:hAnsi="Times New Roman" w:cs="Times New Roman"/>
                <w:sz w:val="20"/>
                <w:szCs w:val="20"/>
              </w:rPr>
              <w:t xml:space="preserve">Konieczne jest udokumentowanie zachowania prawidłowego </w:t>
            </w:r>
            <w:proofErr w:type="spellStart"/>
            <w:r w:rsidRPr="0072578B">
              <w:rPr>
                <w:rFonts w:ascii="Times New Roman" w:hAnsi="Times New Roman" w:cs="Times New Roman"/>
                <w:sz w:val="20"/>
                <w:szCs w:val="20"/>
              </w:rPr>
              <w:t>compliance</w:t>
            </w:r>
            <w:proofErr w:type="spellEnd"/>
            <w:r w:rsidRPr="0072578B">
              <w:rPr>
                <w:rFonts w:ascii="Times New Roman" w:hAnsi="Times New Roman" w:cs="Times New Roman"/>
                <w:sz w:val="20"/>
                <w:szCs w:val="20"/>
              </w:rPr>
              <w:t xml:space="preserve"> na podstawie realizacji recept w IKP</w:t>
            </w:r>
            <w:r w:rsidR="00B53438" w:rsidRPr="007C47A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1068FA9" w14:textId="4F94B06C" w:rsidR="00B53438" w:rsidRPr="007C47A9" w:rsidRDefault="00B53438" w:rsidP="005E234D">
            <w:pPr>
              <w:spacing w:line="276" w:lineRule="auto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3F37D5AF" w14:textId="02147E59" w:rsidR="00B53438" w:rsidRPr="007C47A9" w:rsidRDefault="00B53438" w:rsidP="005E234D">
            <w:pPr>
              <w:pStyle w:val="Akapitzlist"/>
              <w:numPr>
                <w:ilvl w:val="4"/>
                <w:numId w:val="19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pacjenci z całkowitą nietolerancją </w:t>
            </w:r>
            <w:proofErr w:type="spellStart"/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statyn</w:t>
            </w:r>
            <w:proofErr w:type="spellEnd"/>
            <w:r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, definiowaną według obowiązujących wytycznych towarzystw naukowych w zakresie diagnostyki i leczenia zaburzeń lipidowych (PTL/KLRWP/PTK/PTDL/PTD/PTNT), jako udokumentowany brak tolerancji co najmniej 2 </w:t>
            </w:r>
            <w:proofErr w:type="spellStart"/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statyn</w:t>
            </w:r>
            <w:proofErr w:type="spellEnd"/>
            <w:r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– jednej w najmniejszej początkowej dawce na dobę i drugiej w dowolnej dostępnej dawce (okres leczenia </w:t>
            </w:r>
            <w:proofErr w:type="spellStart"/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statynami</w:t>
            </w:r>
            <w:proofErr w:type="spellEnd"/>
            <w:r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ustalony przez lekarza prowadzącego, ale nie krótszy niż przez 3 miesiące)</w:t>
            </w:r>
            <w:r w:rsidR="002C3CF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2C3CF5">
              <w:t xml:space="preserve"> </w:t>
            </w:r>
            <w:r w:rsidR="002C3CF5" w:rsidRPr="002C3CF5">
              <w:rPr>
                <w:rFonts w:ascii="Times New Roman" w:hAnsi="Times New Roman" w:cs="Times New Roman"/>
                <w:sz w:val="20"/>
                <w:szCs w:val="20"/>
              </w:rPr>
              <w:t>w przypadku objawów mięśniowych potwierdzony wynikiem w skali SAMS (9–11pkt.).</w:t>
            </w:r>
          </w:p>
          <w:p w14:paraId="405E622C" w14:textId="39F10F9C" w:rsidR="00B53438" w:rsidRPr="007C47A9" w:rsidRDefault="00B53438" w:rsidP="005E234D">
            <w:pPr>
              <w:spacing w:line="276" w:lineRule="auto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16239DA7" w14:textId="7F9568CC" w:rsidR="00B53438" w:rsidRPr="007C47A9" w:rsidRDefault="00B53438" w:rsidP="005E234D">
            <w:pPr>
              <w:pStyle w:val="Akapitzlist"/>
              <w:numPr>
                <w:ilvl w:val="3"/>
                <w:numId w:val="19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pacjenci, z homozygotyczną hipercholesterolemią rodzinną leczeni </w:t>
            </w:r>
            <w:proofErr w:type="spellStart"/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ewolokumabem</w:t>
            </w:r>
            <w:proofErr w:type="spellEnd"/>
            <w:r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zakwalifikowani do programu lekowego zgodnie z podpunktem 1.2.5. po osiągnięciu pełnoletniości, którzy podlegają przeniesieniu leczenia do ośrodka dla dorosłych bez konieczności spełnienia kryteriów ogólnych kwalifikacji (1.1.).</w:t>
            </w:r>
          </w:p>
          <w:p w14:paraId="6C4D2E89" w14:textId="3223FE43" w:rsidR="00A5475A" w:rsidRPr="007C47A9" w:rsidRDefault="00A5475A" w:rsidP="005E234D">
            <w:pPr>
              <w:pStyle w:val="Akapitzlist"/>
              <w:numPr>
                <w:ilvl w:val="2"/>
                <w:numId w:val="19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dorosłych</w:t>
            </w:r>
            <w:r w:rsidR="000C30A8" w:rsidRPr="007C47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pacjentów</w:t>
            </w:r>
            <w:r w:rsidR="000C30A8" w:rsidRPr="007C47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14:paraId="5588CBC6" w14:textId="0B0C8EA4" w:rsidR="00110B4F" w:rsidRPr="007C47A9" w:rsidRDefault="00762DAE" w:rsidP="005E234D">
            <w:pPr>
              <w:pStyle w:val="Akapitzlist"/>
              <w:numPr>
                <w:ilvl w:val="4"/>
                <w:numId w:val="19"/>
              </w:numPr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z ekstremalnym ryzykiem chorób układu sercowo-naczyniowego </w:t>
            </w:r>
            <w:proofErr w:type="spellStart"/>
            <w:r w:rsidRPr="007C47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alirokumabem</w:t>
            </w:r>
            <w:proofErr w:type="spellEnd"/>
            <w:r w:rsidRPr="007C47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lub </w:t>
            </w:r>
            <w:proofErr w:type="spellStart"/>
            <w:r w:rsidRPr="007C47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ewolokumabem</w:t>
            </w:r>
            <w:proofErr w:type="spellEnd"/>
            <w:r w:rsidRPr="007C47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lub </w:t>
            </w:r>
            <w:proofErr w:type="spellStart"/>
            <w:r w:rsidRPr="007C47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inklisiranem</w:t>
            </w:r>
            <w:proofErr w:type="spellEnd"/>
          </w:p>
          <w:p w14:paraId="67FF3DF8" w14:textId="383FE7FA" w:rsidR="00A5475A" w:rsidRPr="007C47A9" w:rsidRDefault="00A5475A" w:rsidP="005E234D">
            <w:pPr>
              <w:pStyle w:val="Akapitzlist"/>
              <w:numPr>
                <w:ilvl w:val="3"/>
                <w:numId w:val="23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LDL-C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  <w:r w:rsidR="00F23B10" w:rsidRPr="007C47A9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mg/dl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594C87" w:rsidRPr="007C47A9"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F23B10" w:rsidRPr="007C47A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mmol</w:t>
            </w:r>
            <w:proofErr w:type="spellEnd"/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/l)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pomimo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diety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i:</w:t>
            </w:r>
          </w:p>
          <w:p w14:paraId="66DD6BD0" w14:textId="4E662BEB" w:rsidR="00936EC9" w:rsidRPr="007C47A9" w:rsidRDefault="00A5475A" w:rsidP="005E234D">
            <w:pPr>
              <w:pStyle w:val="Akapitzlist"/>
              <w:numPr>
                <w:ilvl w:val="4"/>
                <w:numId w:val="23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intensywnego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statynami</w:t>
            </w:r>
            <w:proofErr w:type="spellEnd"/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maksymalnych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tolerowanych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dawkach</w:t>
            </w:r>
            <w:r w:rsidR="00105A36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oraz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statynami</w:t>
            </w:r>
            <w:proofErr w:type="spellEnd"/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maksymalnych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tolerowanych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dawkach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ezetymibem</w:t>
            </w:r>
            <w:proofErr w:type="spellEnd"/>
            <w:r w:rsidR="005D79BC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(łączny czas leczenia co najmniej 6-8 tygodni, w tym leczenia skojarzonego minimum 1 miesiąc</w:t>
            </w:r>
            <w:r w:rsidR="00936EC9" w:rsidRPr="007C47A9">
              <w:rPr>
                <w:rFonts w:ascii="Times New Roman" w:hAnsi="Times New Roman" w:cs="Times New Roman"/>
                <w:sz w:val="20"/>
                <w:szCs w:val="20"/>
              </w:rPr>
              <w:t>) albo</w:t>
            </w:r>
            <w:r w:rsidR="00321040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natychmiastowe</w:t>
            </w:r>
            <w:r w:rsidR="00936EC9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stosowanie terapii </w:t>
            </w:r>
            <w:proofErr w:type="spellStart"/>
            <w:r w:rsidR="00724A4C" w:rsidRPr="007C47A9">
              <w:rPr>
                <w:rFonts w:ascii="Times New Roman" w:hAnsi="Times New Roman" w:cs="Times New Roman"/>
                <w:sz w:val="20"/>
                <w:szCs w:val="20"/>
              </w:rPr>
              <w:t>statynami</w:t>
            </w:r>
            <w:proofErr w:type="spellEnd"/>
            <w:r w:rsidR="00724A4C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w maksymalnych tolerowanych dawkach w skojarzeniu z </w:t>
            </w:r>
            <w:proofErr w:type="spellStart"/>
            <w:r w:rsidR="00724A4C" w:rsidRPr="007C47A9">
              <w:rPr>
                <w:rFonts w:ascii="Times New Roman" w:hAnsi="Times New Roman" w:cs="Times New Roman"/>
                <w:sz w:val="20"/>
                <w:szCs w:val="20"/>
              </w:rPr>
              <w:t>ezetymibem</w:t>
            </w:r>
            <w:proofErr w:type="spellEnd"/>
            <w:r w:rsidR="00724A4C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6EC9" w:rsidRPr="007C47A9">
              <w:rPr>
                <w:rFonts w:ascii="Times New Roman" w:hAnsi="Times New Roman" w:cs="Times New Roman"/>
                <w:sz w:val="20"/>
                <w:szCs w:val="20"/>
              </w:rPr>
              <w:t>w pierwszym rzucie leczenia (</w:t>
            </w:r>
            <w:r w:rsidR="00321040" w:rsidRPr="007C47A9">
              <w:rPr>
                <w:rFonts w:ascii="Times New Roman" w:hAnsi="Times New Roman" w:cs="Times New Roman"/>
                <w:sz w:val="20"/>
                <w:szCs w:val="20"/>
              </w:rPr>
              <w:t>łączny czas leczenia co najmniej 6-8 tygodni</w:t>
            </w:r>
            <w:r w:rsidR="00936EC9" w:rsidRPr="007C47A9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14:paraId="45F94B34" w14:textId="444BDEF3" w:rsidR="00A5475A" w:rsidRPr="007C47A9" w:rsidRDefault="00936EC9" w:rsidP="005E234D">
            <w:pPr>
              <w:pStyle w:val="Akapitzlist"/>
              <w:spacing w:line="276" w:lineRule="auto"/>
              <w:ind w:left="680"/>
              <w:rPr>
                <w:rFonts w:ascii="Times New Roman" w:hAnsi="Times New Roman" w:cs="Times New Roman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Konieczne jest udokumentowanie zachowania prawidłowego </w:t>
            </w:r>
            <w:proofErr w:type="spellStart"/>
            <w:r w:rsidRPr="007C47A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compliance</w:t>
            </w:r>
            <w:proofErr w:type="spellEnd"/>
            <w:r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na podstawie realizacji recept w IKP.</w:t>
            </w:r>
          </w:p>
          <w:p w14:paraId="07C6EA41" w14:textId="77777777" w:rsidR="00A5475A" w:rsidRPr="007C47A9" w:rsidRDefault="00A5475A" w:rsidP="005E234D">
            <w:pPr>
              <w:pStyle w:val="Akapitzlist"/>
              <w:spacing w:line="276" w:lineRule="auto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7515635A" w14:textId="3B8F3E78" w:rsidR="00A5475A" w:rsidRPr="007C47A9" w:rsidRDefault="00A5475A" w:rsidP="005E234D">
            <w:pPr>
              <w:pStyle w:val="Akapitzlist"/>
              <w:numPr>
                <w:ilvl w:val="4"/>
                <w:numId w:val="23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pacjenci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całkowitą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nietolerancją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statyn</w:t>
            </w:r>
            <w:proofErr w:type="spellEnd"/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definiowaną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obowiązujących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wytycznych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towarzystw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naukowych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zakresie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diagnostyki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zaburzeń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lipidowych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(PTL/KLRWP/PTK/PTDL/PTD/PTNT),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jako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udokumentowany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tolerancji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statyn</w:t>
            </w:r>
            <w:proofErr w:type="spellEnd"/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jednej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najmniejszej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początkowej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dawce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drugiej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dowolnej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dostępnej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dawce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(okres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statynami</w:t>
            </w:r>
            <w:proofErr w:type="spellEnd"/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ustalony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prowadzącego,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ale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krótszy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miesiące)</w:t>
            </w:r>
            <w:r w:rsidR="00237C47" w:rsidRPr="007C47A9">
              <w:rPr>
                <w:rFonts w:ascii="Times New Roman" w:hAnsi="Times New Roman" w:cs="Times New Roman"/>
                <w:sz w:val="20"/>
                <w:szCs w:val="20"/>
              </w:rPr>
              <w:t>, w przypadku objawów mięśniowych potwierdzony wynikiem w skali SAMS (9–11 pkt.)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091662F" w14:textId="2DB4D9EF" w:rsidR="00A5475A" w:rsidRPr="007C47A9" w:rsidRDefault="00D74048" w:rsidP="005E234D">
            <w:pPr>
              <w:pStyle w:val="Akapitzlist"/>
              <w:numPr>
                <w:ilvl w:val="3"/>
                <w:numId w:val="23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A5475A" w:rsidRPr="007C47A9">
              <w:rPr>
                <w:rFonts w:ascii="Times New Roman" w:hAnsi="Times New Roman" w:cs="Times New Roman"/>
                <w:sz w:val="20"/>
                <w:szCs w:val="20"/>
              </w:rPr>
              <w:t>rzebyty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7C47A9">
              <w:rPr>
                <w:rFonts w:ascii="Times New Roman" w:hAnsi="Times New Roman" w:cs="Times New Roman"/>
                <w:sz w:val="20"/>
                <w:szCs w:val="20"/>
              </w:rPr>
              <w:t>zawał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7C47A9">
              <w:rPr>
                <w:rFonts w:ascii="Times New Roman" w:hAnsi="Times New Roman" w:cs="Times New Roman"/>
                <w:sz w:val="20"/>
                <w:szCs w:val="20"/>
              </w:rPr>
              <w:t>serca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7C47A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7C47A9">
              <w:rPr>
                <w:rFonts w:ascii="Times New Roman" w:hAnsi="Times New Roman" w:cs="Times New Roman"/>
                <w:sz w:val="20"/>
                <w:szCs w:val="20"/>
              </w:rPr>
              <w:t>udokumentowaną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7C47A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7C47A9">
              <w:rPr>
                <w:rFonts w:ascii="Times New Roman" w:hAnsi="Times New Roman" w:cs="Times New Roman"/>
                <w:sz w:val="20"/>
                <w:szCs w:val="20"/>
              </w:rPr>
              <w:t>koronarografii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7C47A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7C47A9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tomografii</w:t>
            </w:r>
            <w:r w:rsidR="000C30A8" w:rsidRPr="007C47A9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7C47A9">
              <w:rPr>
                <w:rFonts w:ascii="Times New Roman" w:hAnsi="Times New Roman" w:cs="Times New Roman"/>
                <w:sz w:val="20"/>
                <w:szCs w:val="20"/>
              </w:rPr>
              <w:t>miażdżycą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7C47A9">
              <w:rPr>
                <w:rFonts w:ascii="Times New Roman" w:hAnsi="Times New Roman" w:cs="Times New Roman"/>
                <w:sz w:val="20"/>
                <w:szCs w:val="20"/>
              </w:rPr>
              <w:t>tętnic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7C47A9">
              <w:rPr>
                <w:rFonts w:ascii="Times New Roman" w:hAnsi="Times New Roman" w:cs="Times New Roman"/>
                <w:sz w:val="20"/>
                <w:szCs w:val="20"/>
              </w:rPr>
              <w:t>wieńcowych</w:t>
            </w:r>
            <w:r w:rsidR="00A5475A" w:rsidRPr="007C47A9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,</w:t>
            </w:r>
            <w:r w:rsidR="000C30A8" w:rsidRPr="007C47A9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7C47A9">
              <w:rPr>
                <w:rFonts w:ascii="Times New Roman" w:hAnsi="Times New Roman" w:cs="Times New Roman"/>
                <w:sz w:val="20"/>
                <w:szCs w:val="20"/>
              </w:rPr>
              <w:t>który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7C47A9">
              <w:rPr>
                <w:rFonts w:ascii="Times New Roman" w:hAnsi="Times New Roman" w:cs="Times New Roman"/>
                <w:sz w:val="20"/>
                <w:szCs w:val="20"/>
              </w:rPr>
              <w:t>wystąpił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7C47A9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6775" w:rsidRPr="007C47A9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7C47A9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7C47A9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7C47A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włączeniem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7C47A9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7C47A9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7C47A9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7C47A9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7C47A9">
              <w:rPr>
                <w:rFonts w:ascii="Times New Roman" w:hAnsi="Times New Roman" w:cs="Times New Roman"/>
                <w:sz w:val="20"/>
                <w:szCs w:val="20"/>
              </w:rPr>
              <w:t>dodatkowym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7C47A9">
              <w:rPr>
                <w:rFonts w:ascii="Times New Roman" w:hAnsi="Times New Roman" w:cs="Times New Roman"/>
                <w:sz w:val="20"/>
                <w:szCs w:val="20"/>
              </w:rPr>
              <w:t>jednym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7C47A9">
              <w:rPr>
                <w:rFonts w:ascii="Times New Roman" w:hAnsi="Times New Roman" w:cs="Times New Roman"/>
                <w:sz w:val="20"/>
                <w:szCs w:val="20"/>
              </w:rPr>
              <w:t>zdarzeniem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475A" w:rsidRPr="007C47A9">
              <w:rPr>
                <w:rFonts w:ascii="Times New Roman" w:hAnsi="Times New Roman" w:cs="Times New Roman"/>
                <w:sz w:val="20"/>
                <w:szCs w:val="20"/>
              </w:rPr>
              <w:t>sercowo-naczyniowym</w:t>
            </w:r>
            <w:r w:rsidR="00B81A5C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lub stanem chorobowym/</w:t>
            </w:r>
            <w:r w:rsidR="004A49D5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1A5C" w:rsidRPr="007C47A9">
              <w:rPr>
                <w:rFonts w:ascii="Times New Roman" w:hAnsi="Times New Roman" w:cs="Times New Roman"/>
                <w:sz w:val="20"/>
                <w:szCs w:val="20"/>
              </w:rPr>
              <w:t>czynnikiem ryzyka</w:t>
            </w:r>
            <w:r w:rsidR="00A5475A" w:rsidRPr="007C47A9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750A07E4" w14:textId="77777777" w:rsidR="00A5475A" w:rsidRPr="007C47A9" w:rsidRDefault="00A5475A" w:rsidP="005E234D">
            <w:pPr>
              <w:pStyle w:val="Akapitzlist"/>
              <w:numPr>
                <w:ilvl w:val="4"/>
                <w:numId w:val="23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wieńcowym:</w:t>
            </w:r>
          </w:p>
          <w:p w14:paraId="1CDDA879" w14:textId="0D18B301" w:rsidR="00A5475A" w:rsidRPr="007C47A9" w:rsidRDefault="00A5475A" w:rsidP="005E234D">
            <w:pPr>
              <w:pStyle w:val="Akapitzlist"/>
              <w:numPr>
                <w:ilvl w:val="5"/>
                <w:numId w:val="23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dodatkowo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przebytym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zawałem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serca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wywiadzie</w:t>
            </w:r>
          </w:p>
          <w:p w14:paraId="7E94DA22" w14:textId="77777777" w:rsidR="00A5475A" w:rsidRPr="007C47A9" w:rsidRDefault="00A5475A" w:rsidP="005E234D">
            <w:pPr>
              <w:pStyle w:val="Akapitzlist"/>
              <w:spacing w:line="276" w:lineRule="auto"/>
              <w:ind w:left="680"/>
              <w:rPr>
                <w:rFonts w:ascii="Times New Roman" w:hAnsi="Times New Roman" w:cs="Times New Roman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2F8142B0" w14:textId="21F6BB64" w:rsidR="00A5475A" w:rsidRPr="007C47A9" w:rsidRDefault="00A5475A" w:rsidP="005E234D">
            <w:pPr>
              <w:pStyle w:val="Akapitzlist"/>
              <w:numPr>
                <w:ilvl w:val="5"/>
                <w:numId w:val="23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wielonaczyniową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chorobą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wieńcową,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zdefiniowaną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jako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50%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zwężenie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światła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naczynia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naczyniach</w:t>
            </w:r>
          </w:p>
          <w:p w14:paraId="0CE828FE" w14:textId="77777777" w:rsidR="00A5475A" w:rsidRPr="007C47A9" w:rsidRDefault="00A5475A" w:rsidP="005E234D">
            <w:pPr>
              <w:pStyle w:val="Akapitzlist"/>
              <w:spacing w:line="276" w:lineRule="auto"/>
              <w:ind w:left="680"/>
              <w:rPr>
                <w:rFonts w:ascii="Times New Roman" w:hAnsi="Times New Roman" w:cs="Times New Roman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41793D97" w14:textId="49E05C39" w:rsidR="00A5475A" w:rsidRPr="007C47A9" w:rsidRDefault="00A5475A" w:rsidP="005E234D">
            <w:pPr>
              <w:pStyle w:val="Akapitzlist"/>
              <w:numPr>
                <w:ilvl w:val="5"/>
                <w:numId w:val="23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wiekiem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poniżej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lat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chwili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pierwszego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zawału,</w:t>
            </w:r>
          </w:p>
          <w:p w14:paraId="633C8EDD" w14:textId="77777777" w:rsidR="00A5475A" w:rsidRPr="007C47A9" w:rsidRDefault="00A5475A" w:rsidP="005E234D">
            <w:pPr>
              <w:pStyle w:val="Akapitzlist"/>
              <w:spacing w:line="276" w:lineRule="auto"/>
              <w:ind w:left="680"/>
              <w:rPr>
                <w:rFonts w:ascii="Times New Roman" w:hAnsi="Times New Roman" w:cs="Times New Roman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2541994A" w14:textId="12BEE41A" w:rsidR="00A5475A" w:rsidRPr="007C47A9" w:rsidRDefault="00A5475A" w:rsidP="005E234D">
            <w:pPr>
              <w:pStyle w:val="Akapitzlist"/>
              <w:numPr>
                <w:ilvl w:val="5"/>
                <w:numId w:val="23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uprzednio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wykonanym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zabiegu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PCI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CABG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wielonaczyniowej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wieńcowej,</w:t>
            </w:r>
          </w:p>
          <w:p w14:paraId="60A28007" w14:textId="310A9307" w:rsidR="00A5475A" w:rsidRPr="007C47A9" w:rsidRDefault="00A5475A" w:rsidP="005E234D">
            <w:pPr>
              <w:pStyle w:val="Akapitzlist"/>
              <w:numPr>
                <w:ilvl w:val="4"/>
                <w:numId w:val="23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chorobą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miażdżycową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tętnic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innych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wieńcowe,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rozumianą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jako:</w:t>
            </w:r>
          </w:p>
          <w:p w14:paraId="551665B5" w14:textId="5CCABA3E" w:rsidR="00A5475A" w:rsidRPr="007C47A9" w:rsidRDefault="00A5475A" w:rsidP="005E234D">
            <w:pPr>
              <w:pStyle w:val="Akapitzlist"/>
              <w:numPr>
                <w:ilvl w:val="5"/>
                <w:numId w:val="23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choroba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tętnic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obwodowych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(PAD),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tj.:</w:t>
            </w:r>
          </w:p>
          <w:p w14:paraId="5748B070" w14:textId="45CBE43B" w:rsidR="00A5475A" w:rsidRPr="007C47A9" w:rsidRDefault="00A5475A" w:rsidP="005E234D">
            <w:pPr>
              <w:pStyle w:val="Akapitzlist"/>
              <w:numPr>
                <w:ilvl w:val="6"/>
                <w:numId w:val="23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chromanie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przestankowe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wskaźnikiem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kostka-ramię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(ABI)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&lt;0,85</w:t>
            </w:r>
          </w:p>
          <w:p w14:paraId="1AA590CE" w14:textId="77777777" w:rsidR="00A5475A" w:rsidRPr="007C47A9" w:rsidRDefault="00A5475A" w:rsidP="005E234D">
            <w:pPr>
              <w:pStyle w:val="Akapitzlist"/>
              <w:spacing w:line="276" w:lineRule="auto"/>
              <w:ind w:left="907"/>
              <w:rPr>
                <w:rFonts w:ascii="Times New Roman" w:hAnsi="Times New Roman" w:cs="Times New Roman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5CB0F9B0" w14:textId="6648414E" w:rsidR="00A5475A" w:rsidRPr="007C47A9" w:rsidRDefault="00A5475A" w:rsidP="005E234D">
            <w:pPr>
              <w:pStyle w:val="Akapitzlist"/>
              <w:numPr>
                <w:ilvl w:val="6"/>
                <w:numId w:val="23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przebyta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rewaskularyzacja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tętnic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obwodowych</w:t>
            </w:r>
          </w:p>
          <w:p w14:paraId="0C67C063" w14:textId="77777777" w:rsidR="00A5475A" w:rsidRPr="007C47A9" w:rsidRDefault="00A5475A" w:rsidP="005E234D">
            <w:pPr>
              <w:pStyle w:val="Akapitzlist"/>
              <w:spacing w:line="276" w:lineRule="auto"/>
              <w:ind w:left="907"/>
              <w:rPr>
                <w:rFonts w:ascii="Times New Roman" w:hAnsi="Times New Roman" w:cs="Times New Roman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034C5B94" w14:textId="6BC75DAD" w:rsidR="00A5475A" w:rsidRPr="007C47A9" w:rsidRDefault="00A5475A" w:rsidP="005E234D">
            <w:pPr>
              <w:pStyle w:val="Akapitzlist"/>
              <w:numPr>
                <w:ilvl w:val="6"/>
                <w:numId w:val="23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amputacja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kończyny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powodu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miażdżycowej</w:t>
            </w:r>
          </w:p>
          <w:p w14:paraId="2361E66E" w14:textId="77777777" w:rsidR="00A5475A" w:rsidRPr="007C47A9" w:rsidRDefault="00A5475A" w:rsidP="005E234D">
            <w:pPr>
              <w:pStyle w:val="Akapitzlist"/>
              <w:spacing w:line="276" w:lineRule="auto"/>
              <w:ind w:left="680"/>
              <w:rPr>
                <w:rFonts w:ascii="Times New Roman" w:hAnsi="Times New Roman" w:cs="Times New Roman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7DD1BD23" w14:textId="30B5DBF9" w:rsidR="00A5475A" w:rsidRPr="007C47A9" w:rsidRDefault="00A5475A" w:rsidP="005E234D">
            <w:pPr>
              <w:pStyle w:val="Akapitzlist"/>
              <w:numPr>
                <w:ilvl w:val="5"/>
                <w:numId w:val="23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choroba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tętnic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mózgowych,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tj.:</w:t>
            </w:r>
          </w:p>
          <w:p w14:paraId="7251DAE0" w14:textId="509AE766" w:rsidR="00A5475A" w:rsidRPr="007C47A9" w:rsidRDefault="00A5475A" w:rsidP="005E234D">
            <w:pPr>
              <w:pStyle w:val="Akapitzlist"/>
              <w:numPr>
                <w:ilvl w:val="6"/>
                <w:numId w:val="23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przebyty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udar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mózgu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niedokrwienny</w:t>
            </w:r>
          </w:p>
          <w:p w14:paraId="4946CA9F" w14:textId="77777777" w:rsidR="00A5475A" w:rsidRPr="007C47A9" w:rsidRDefault="00A5475A" w:rsidP="005E234D">
            <w:pPr>
              <w:pStyle w:val="Akapitzlist"/>
              <w:spacing w:line="276" w:lineRule="auto"/>
              <w:ind w:left="907"/>
              <w:rPr>
                <w:rFonts w:ascii="Times New Roman" w:hAnsi="Times New Roman" w:cs="Times New Roman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3BD80A5B" w14:textId="0A797245" w:rsidR="00A5475A" w:rsidRPr="007C47A9" w:rsidRDefault="00A5475A" w:rsidP="005E234D">
            <w:pPr>
              <w:pStyle w:val="Akapitzlist"/>
              <w:numPr>
                <w:ilvl w:val="6"/>
                <w:numId w:val="23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przemijający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atak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niedokrwienny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(TIA)</w:t>
            </w:r>
          </w:p>
          <w:p w14:paraId="6A1221AB" w14:textId="77777777" w:rsidR="00A5475A" w:rsidRPr="007C47A9" w:rsidRDefault="00A5475A" w:rsidP="005E234D">
            <w:pPr>
              <w:pStyle w:val="Akapitzlist"/>
              <w:spacing w:line="276" w:lineRule="auto"/>
              <w:ind w:left="907"/>
              <w:rPr>
                <w:rFonts w:ascii="Times New Roman" w:hAnsi="Times New Roman" w:cs="Times New Roman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54A28A71" w14:textId="0E196E82" w:rsidR="00A5475A" w:rsidRPr="007C47A9" w:rsidRDefault="00A5475A" w:rsidP="005E234D">
            <w:pPr>
              <w:pStyle w:val="Akapitzlist"/>
              <w:numPr>
                <w:ilvl w:val="6"/>
                <w:numId w:val="23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przebyta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rewaskularyzacja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tętnic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dogłowowych</w:t>
            </w:r>
            <w:r w:rsidR="00871276" w:rsidRPr="007C47A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5CD454A" w14:textId="2C0ADBBA" w:rsidR="00871276" w:rsidRPr="007C47A9" w:rsidRDefault="003367A5" w:rsidP="005E234D">
            <w:pPr>
              <w:pStyle w:val="Akapitzlist"/>
              <w:numPr>
                <w:ilvl w:val="4"/>
                <w:numId w:val="23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inne stany chorobowe:</w:t>
            </w:r>
          </w:p>
          <w:p w14:paraId="76A6E41D" w14:textId="655475E9" w:rsidR="003367A5" w:rsidRPr="007C47A9" w:rsidRDefault="005F5C55" w:rsidP="005E234D">
            <w:pPr>
              <w:pStyle w:val="Akapitzlist"/>
              <w:numPr>
                <w:ilvl w:val="5"/>
                <w:numId w:val="23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cukrzyca typu 2 z poważnym uszkodzeniem narządowym definiowanym jako:</w:t>
            </w:r>
          </w:p>
          <w:p w14:paraId="6102E286" w14:textId="055AF57B" w:rsidR="00E1472F" w:rsidRPr="007C47A9" w:rsidRDefault="00442410" w:rsidP="005E234D">
            <w:pPr>
              <w:pStyle w:val="Akapitzlist"/>
              <w:numPr>
                <w:ilvl w:val="6"/>
                <w:numId w:val="23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eGFR</w:t>
            </w:r>
            <w:proofErr w:type="spellEnd"/>
            <w:r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&lt;45 ml/min/1</w:t>
            </w:r>
            <w:r w:rsidR="006E6A91" w:rsidRPr="007C47A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73 m2 niezależnie od albuminurii</w:t>
            </w:r>
          </w:p>
          <w:p w14:paraId="4A2E28D8" w14:textId="21BC6A8F" w:rsidR="006E6A91" w:rsidRPr="007C47A9" w:rsidRDefault="006E6A91" w:rsidP="005E234D">
            <w:pPr>
              <w:spacing w:line="276" w:lineRule="auto"/>
              <w:ind w:left="907"/>
              <w:rPr>
                <w:rFonts w:ascii="Times New Roman" w:hAnsi="Times New Roman" w:cs="Times New Roman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5E0B9A50" w14:textId="23FE3807" w:rsidR="00442410" w:rsidRPr="007C47A9" w:rsidRDefault="00442410" w:rsidP="005E234D">
            <w:pPr>
              <w:pStyle w:val="Akapitzlist"/>
              <w:numPr>
                <w:ilvl w:val="6"/>
                <w:numId w:val="23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eGFR</w:t>
            </w:r>
            <w:proofErr w:type="spellEnd"/>
            <w:r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45–59 ml/min/1</w:t>
            </w:r>
            <w:r w:rsidR="006E6A91" w:rsidRPr="007C47A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73 m2 oraz albuminuria (UACR 30–300 mg/g; stadium A2)</w:t>
            </w:r>
          </w:p>
          <w:p w14:paraId="05E60AC8" w14:textId="562CA294" w:rsidR="00996B8C" w:rsidRPr="007C47A9" w:rsidRDefault="00996B8C" w:rsidP="005E234D">
            <w:pPr>
              <w:spacing w:line="276" w:lineRule="auto"/>
              <w:ind w:left="907"/>
              <w:rPr>
                <w:rFonts w:ascii="Times New Roman" w:hAnsi="Times New Roman" w:cs="Times New Roman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7795A652" w14:textId="570B8CCF" w:rsidR="00E1472F" w:rsidRPr="007C47A9" w:rsidRDefault="00442410" w:rsidP="005E234D">
            <w:pPr>
              <w:pStyle w:val="Akapitzlist"/>
              <w:numPr>
                <w:ilvl w:val="6"/>
                <w:numId w:val="23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białkomocz (UACR &gt;300 mg/g; stadium A3)</w:t>
            </w:r>
          </w:p>
          <w:p w14:paraId="765AFF9D" w14:textId="302ED213" w:rsidR="0025559A" w:rsidRPr="007C47A9" w:rsidRDefault="0025559A" w:rsidP="005E234D">
            <w:pPr>
              <w:spacing w:line="276" w:lineRule="auto"/>
              <w:ind w:left="907"/>
              <w:rPr>
                <w:rFonts w:ascii="Times New Roman" w:hAnsi="Times New Roman" w:cs="Times New Roman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33F3C52A" w14:textId="462DAFC9" w:rsidR="00B97EC5" w:rsidRPr="007C47A9" w:rsidRDefault="005F5C55" w:rsidP="005E234D">
            <w:pPr>
              <w:pStyle w:val="Akapitzlist"/>
              <w:numPr>
                <w:ilvl w:val="6"/>
                <w:numId w:val="23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obecność choroby mikronaczyniowej w przynajmniej trzech różnych miejscach, np. albuminuria (stadium A2) </w:t>
            </w:r>
            <w:r w:rsidR="00AE253F" w:rsidRPr="007C47A9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retinopatia </w:t>
            </w:r>
            <w:r w:rsidR="00AE253F" w:rsidRPr="007C47A9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neuropatia</w:t>
            </w:r>
          </w:p>
          <w:p w14:paraId="7BAFD318" w14:textId="685CA39D" w:rsidR="00B97EC5" w:rsidRPr="007C47A9" w:rsidRDefault="00B97EC5" w:rsidP="005E234D">
            <w:pPr>
              <w:spacing w:line="276" w:lineRule="auto"/>
              <w:ind w:left="907"/>
              <w:rPr>
                <w:rFonts w:ascii="Times New Roman" w:hAnsi="Times New Roman" w:cs="Times New Roman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5D4CA6DD" w14:textId="6CEF6E32" w:rsidR="009634FF" w:rsidRPr="007C47A9" w:rsidRDefault="00B97EC5" w:rsidP="005E234D">
            <w:pPr>
              <w:pStyle w:val="Akapitzlist"/>
              <w:numPr>
                <w:ilvl w:val="6"/>
                <w:numId w:val="23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10-letnie ryzyko sercowo-naczyniowe &gt; 20% według kalkulatora SCORE2-Diabetes</w:t>
            </w:r>
          </w:p>
          <w:p w14:paraId="321AB302" w14:textId="3BE41B82" w:rsidR="009634FF" w:rsidRPr="007C47A9" w:rsidRDefault="0055358B" w:rsidP="005E234D">
            <w:pPr>
              <w:spacing w:line="276" w:lineRule="auto"/>
              <w:ind w:left="680"/>
              <w:rPr>
                <w:rFonts w:ascii="Times New Roman" w:hAnsi="Times New Roman" w:cs="Times New Roman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4AABDAD3" w14:textId="1F5726BF" w:rsidR="009634FF" w:rsidRPr="007C47A9" w:rsidRDefault="0055358B" w:rsidP="005E234D">
            <w:pPr>
              <w:pStyle w:val="Akapitzlist"/>
              <w:numPr>
                <w:ilvl w:val="5"/>
                <w:numId w:val="23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przewlekła choroba nerek z </w:t>
            </w:r>
            <w:proofErr w:type="spellStart"/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eGFR</w:t>
            </w:r>
            <w:proofErr w:type="spellEnd"/>
            <w:r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&lt; </w:t>
            </w:r>
            <w:r w:rsidR="003C2F4A" w:rsidRPr="007C47A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0 ml/min/1,73 m</w:t>
            </w:r>
            <w:r w:rsidRPr="007C47A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  <w:p w14:paraId="5564990A" w14:textId="57EC18C2" w:rsidR="00F05239" w:rsidRPr="007C47A9" w:rsidRDefault="00F05239" w:rsidP="005E234D">
            <w:pPr>
              <w:spacing w:line="276" w:lineRule="auto"/>
              <w:ind w:left="680"/>
              <w:rPr>
                <w:rFonts w:ascii="Times New Roman" w:hAnsi="Times New Roman" w:cs="Times New Roman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333017F4" w14:textId="00B12C0D" w:rsidR="009634FF" w:rsidRPr="007C47A9" w:rsidRDefault="00F05239" w:rsidP="005E234D">
            <w:pPr>
              <w:pStyle w:val="Akapitzlist"/>
              <w:numPr>
                <w:ilvl w:val="5"/>
                <w:numId w:val="23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lipoproteina</w:t>
            </w:r>
            <w:proofErr w:type="spellEnd"/>
            <w:r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(a) &gt; 50 mg/</w:t>
            </w:r>
            <w:proofErr w:type="spellStart"/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dL</w:t>
            </w:r>
            <w:proofErr w:type="spellEnd"/>
            <w:r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321040" w:rsidRPr="007C47A9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nmol</w:t>
            </w:r>
            <w:proofErr w:type="spellEnd"/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/l)</w:t>
            </w:r>
          </w:p>
          <w:p w14:paraId="04653686" w14:textId="4425F599" w:rsidR="009C7DA8" w:rsidRPr="007C47A9" w:rsidRDefault="009C7DA8" w:rsidP="005E234D">
            <w:pPr>
              <w:spacing w:line="276" w:lineRule="auto"/>
              <w:ind w:left="680"/>
              <w:rPr>
                <w:rFonts w:ascii="Times New Roman" w:hAnsi="Times New Roman" w:cs="Times New Roman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72FDAB89" w14:textId="1B6CCB8F" w:rsidR="00F05239" w:rsidRPr="007C47A9" w:rsidRDefault="00F05239" w:rsidP="005E234D">
            <w:pPr>
              <w:pStyle w:val="Akapitzlist"/>
              <w:numPr>
                <w:ilvl w:val="5"/>
                <w:numId w:val="23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potwierdzona diagnoza rodzinnej heterozygotycznej</w:t>
            </w:r>
            <w:r w:rsidR="009C7D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hipercholesterolemii, tj. &gt; 8 punktów w skali Dutch Lipid </w:t>
            </w:r>
            <w:proofErr w:type="spellStart"/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Clinic</w:t>
            </w:r>
            <w:proofErr w:type="spellEnd"/>
            <w:r w:rsidR="009C7D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Network</w:t>
            </w:r>
            <w:r w:rsidR="009C7DA8" w:rsidRPr="007C47A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E5F3B8C" w14:textId="1606C818" w:rsidR="00065352" w:rsidRPr="007C47A9" w:rsidRDefault="00065352" w:rsidP="005E23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1F5B1EA2" w14:textId="52AA2CD2" w:rsidR="00762DAE" w:rsidRPr="007C47A9" w:rsidRDefault="00762DAE" w:rsidP="005E234D">
            <w:pPr>
              <w:pStyle w:val="Akapitzlist"/>
              <w:numPr>
                <w:ilvl w:val="4"/>
                <w:numId w:val="24"/>
              </w:numPr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z bardzo wysokim ryzykiem chorób układu sercowo-naczyniowego </w:t>
            </w:r>
            <w:proofErr w:type="spellStart"/>
            <w:r w:rsidRPr="007C47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alirokumabem</w:t>
            </w:r>
            <w:proofErr w:type="spellEnd"/>
            <w:r w:rsidRPr="007C47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lub </w:t>
            </w:r>
            <w:proofErr w:type="spellStart"/>
            <w:r w:rsidRPr="007C47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ewolokumabem</w:t>
            </w:r>
            <w:proofErr w:type="spellEnd"/>
            <w:r w:rsidRPr="007C47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lub </w:t>
            </w:r>
            <w:proofErr w:type="spellStart"/>
            <w:r w:rsidRPr="007C47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inklisiranem</w:t>
            </w:r>
            <w:proofErr w:type="spellEnd"/>
          </w:p>
          <w:p w14:paraId="611C66FB" w14:textId="118C9D82" w:rsidR="00B96034" w:rsidRPr="007C47A9" w:rsidRDefault="00B96034" w:rsidP="005E234D">
            <w:pPr>
              <w:pStyle w:val="Akapitzlist"/>
              <w:numPr>
                <w:ilvl w:val="3"/>
                <w:numId w:val="25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LDL-C &gt;</w:t>
            </w:r>
            <w:r w:rsidR="00B92FED" w:rsidRPr="007C47A9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mg/dl (1,</w:t>
            </w:r>
            <w:r w:rsidR="000B45EC" w:rsidRPr="007C47A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mmol</w:t>
            </w:r>
            <w:proofErr w:type="spellEnd"/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/l) pomimo stosowania diety i:</w:t>
            </w:r>
          </w:p>
          <w:p w14:paraId="2BAD5408" w14:textId="40AFBF92" w:rsidR="00936EC9" w:rsidRPr="007C47A9" w:rsidRDefault="00B96034" w:rsidP="005E234D">
            <w:pPr>
              <w:pStyle w:val="Akapitzlist"/>
              <w:numPr>
                <w:ilvl w:val="4"/>
                <w:numId w:val="25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intensywnego leczenia </w:t>
            </w:r>
            <w:proofErr w:type="spellStart"/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statynami</w:t>
            </w:r>
            <w:proofErr w:type="spellEnd"/>
            <w:r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w maksymalnych tolerowanych dawkach</w:t>
            </w:r>
            <w:r w:rsidR="001E6A22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oraz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statynami</w:t>
            </w:r>
            <w:proofErr w:type="spellEnd"/>
            <w:r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w maksymalnych tolerowanych dawkach w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skojarzeniu z </w:t>
            </w:r>
            <w:proofErr w:type="spellStart"/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ezetymibem</w:t>
            </w:r>
            <w:proofErr w:type="spellEnd"/>
            <w:r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(łączny czas leczenia co najmniej 6-8 tygodni, w tym leczenia skojarzonego minimum 1 miesiąc</w:t>
            </w:r>
            <w:r w:rsidR="00936EC9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) albo </w:t>
            </w:r>
            <w:r w:rsidR="00321040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natychmiastowe </w:t>
            </w:r>
            <w:r w:rsidR="00936EC9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stosowanie terapii </w:t>
            </w:r>
            <w:proofErr w:type="spellStart"/>
            <w:r w:rsidR="00724A4C" w:rsidRPr="007C47A9">
              <w:rPr>
                <w:rFonts w:ascii="Times New Roman" w:hAnsi="Times New Roman" w:cs="Times New Roman"/>
                <w:sz w:val="20"/>
                <w:szCs w:val="20"/>
              </w:rPr>
              <w:t>statynami</w:t>
            </w:r>
            <w:proofErr w:type="spellEnd"/>
            <w:r w:rsidR="00724A4C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w maksymalnych tolerowanych dawkach w skojarzeniu z </w:t>
            </w:r>
            <w:proofErr w:type="spellStart"/>
            <w:r w:rsidR="00724A4C" w:rsidRPr="007C47A9">
              <w:rPr>
                <w:rFonts w:ascii="Times New Roman" w:hAnsi="Times New Roman" w:cs="Times New Roman"/>
                <w:sz w:val="20"/>
                <w:szCs w:val="20"/>
              </w:rPr>
              <w:t>ezetymibem</w:t>
            </w:r>
            <w:proofErr w:type="spellEnd"/>
            <w:r w:rsidR="00724A4C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6EC9" w:rsidRPr="007C47A9">
              <w:rPr>
                <w:rFonts w:ascii="Times New Roman" w:hAnsi="Times New Roman" w:cs="Times New Roman"/>
                <w:sz w:val="20"/>
                <w:szCs w:val="20"/>
              </w:rPr>
              <w:t>w pierwszym rzucie leczenia (</w:t>
            </w:r>
            <w:r w:rsidR="00321040" w:rsidRPr="007C47A9">
              <w:rPr>
                <w:rFonts w:ascii="Times New Roman" w:hAnsi="Times New Roman" w:cs="Times New Roman"/>
                <w:sz w:val="20"/>
                <w:szCs w:val="20"/>
              </w:rPr>
              <w:t>łączny czas leczenia co najmniej 6-8 tygodni</w:t>
            </w:r>
            <w:r w:rsidR="00936EC9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). </w:t>
            </w:r>
          </w:p>
          <w:p w14:paraId="19A7980F" w14:textId="32D18A24" w:rsidR="00B96034" w:rsidRPr="007C47A9" w:rsidRDefault="00936EC9" w:rsidP="005E234D">
            <w:pPr>
              <w:pStyle w:val="Akapitzlist"/>
              <w:spacing w:line="276" w:lineRule="auto"/>
              <w:ind w:left="680"/>
              <w:rPr>
                <w:rFonts w:ascii="Times New Roman" w:hAnsi="Times New Roman" w:cs="Times New Roman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Konieczne jest udokumentowanie zachowania prawidłowego </w:t>
            </w:r>
            <w:proofErr w:type="spellStart"/>
            <w:r w:rsidRPr="007C47A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compliance</w:t>
            </w:r>
            <w:proofErr w:type="spellEnd"/>
            <w:r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na podstawie realizacji recept w IKP.</w:t>
            </w:r>
          </w:p>
          <w:p w14:paraId="4D812801" w14:textId="77777777" w:rsidR="00B96034" w:rsidRPr="007C47A9" w:rsidRDefault="00B96034" w:rsidP="005E234D">
            <w:pPr>
              <w:pStyle w:val="Akapitzlist"/>
              <w:spacing w:line="276" w:lineRule="auto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6EE87CD0" w14:textId="31552A3E" w:rsidR="00B96034" w:rsidRPr="007C47A9" w:rsidRDefault="00B96034" w:rsidP="005E234D">
            <w:pPr>
              <w:pStyle w:val="Akapitzlist"/>
              <w:numPr>
                <w:ilvl w:val="4"/>
                <w:numId w:val="25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pacjenci z całkowitą nietolerancją </w:t>
            </w:r>
            <w:proofErr w:type="spellStart"/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statyn</w:t>
            </w:r>
            <w:proofErr w:type="spellEnd"/>
            <w:r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, definiowaną według obowiązujących wytycznych towarzystw naukowych w zakresie diagnostyki i leczenia zaburzeń lipidowych (PTL/KLRWP/PTK/PTDL/PTD/PTNT), jako udokumentowany brak tolerancji co najmniej 2 </w:t>
            </w:r>
            <w:proofErr w:type="spellStart"/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statyn</w:t>
            </w:r>
            <w:proofErr w:type="spellEnd"/>
            <w:r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– jednej w najmniejszej początkowej dawce na dobę i drugiej w dowolnej dostępnej dawce (okres leczenia </w:t>
            </w:r>
            <w:proofErr w:type="spellStart"/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statynami</w:t>
            </w:r>
            <w:proofErr w:type="spellEnd"/>
            <w:r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ustalony przez lekarza prowadzącego, ale nie krótszy niż przez 3 miesiące), w przypadku objawów mięśniowych potwierdzony wynikiem w skali SAMS (9–11 pkt.).</w:t>
            </w:r>
          </w:p>
          <w:p w14:paraId="68091838" w14:textId="03D7CE13" w:rsidR="00B96034" w:rsidRPr="007C47A9" w:rsidRDefault="00B96034" w:rsidP="005E234D">
            <w:pPr>
              <w:pStyle w:val="Akapitzlist"/>
              <w:numPr>
                <w:ilvl w:val="3"/>
                <w:numId w:val="25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przebyty zawał serca z udokumentowaną w koronarografii lub </w:t>
            </w:r>
            <w:r w:rsidRPr="007C47A9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tomografii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miażdżycą tętnic wieńcowych</w:t>
            </w:r>
            <w:r w:rsidRPr="007C47A9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który wystąpił do 24 miesięcy przed włączeniem do programu lekowego</w:t>
            </w:r>
            <w:r w:rsidR="001B1B6F" w:rsidRPr="007C47A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FA299CC" w14:textId="77777777" w:rsidR="000A3E4F" w:rsidRPr="007C47A9" w:rsidRDefault="000A3E4F" w:rsidP="005E234D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F9F3D6F" w14:textId="5419EA1A" w:rsidR="005D7B98" w:rsidRPr="007C47A9" w:rsidRDefault="005D7B98" w:rsidP="005E234D">
            <w:pPr>
              <w:pStyle w:val="Akapitzlist"/>
              <w:numPr>
                <w:ilvl w:val="2"/>
                <w:numId w:val="29"/>
              </w:numPr>
              <w:spacing w:line="276" w:lineRule="auto"/>
              <w:ind w:left="454" w:hanging="454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pediatrycznych pacjentów z homozygotyczną lub heterozygotyczną hipercholesterolemią rodzinną </w:t>
            </w:r>
            <w:proofErr w:type="spellStart"/>
            <w:r w:rsidRPr="007C47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ewolokumabem</w:t>
            </w:r>
            <w:proofErr w:type="spellEnd"/>
            <w:r w:rsidR="00A7007A" w:rsidRPr="007C47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lub </w:t>
            </w:r>
            <w:r w:rsidR="001D30E6" w:rsidRPr="007C47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pediatrycznych pacjentów </w:t>
            </w:r>
            <w:r w:rsidR="00A7007A" w:rsidRPr="007C47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z heterozygotyczną </w:t>
            </w:r>
            <w:r w:rsidR="001D30E6" w:rsidRPr="007C47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hipercholesterolemią</w:t>
            </w:r>
            <w:r w:rsidR="00A7007A" w:rsidRPr="007C47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rodzinną </w:t>
            </w:r>
            <w:proofErr w:type="spellStart"/>
            <w:r w:rsidR="001D30E6" w:rsidRPr="007C47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alirokumabem</w:t>
            </w:r>
            <w:proofErr w:type="spellEnd"/>
          </w:p>
          <w:p w14:paraId="5A8FDD16" w14:textId="1F1A4C0F" w:rsidR="005D7B98" w:rsidRPr="007C47A9" w:rsidRDefault="005D7B98" w:rsidP="005E234D">
            <w:pPr>
              <w:pStyle w:val="Akapitzlist"/>
              <w:numPr>
                <w:ilvl w:val="3"/>
                <w:numId w:val="2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wiek 10 – 18 lat</w:t>
            </w:r>
            <w:r w:rsidR="0006617C" w:rsidRPr="007C47A9">
              <w:t xml:space="preserve"> </w:t>
            </w:r>
            <w:r w:rsidR="0006617C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dla </w:t>
            </w:r>
            <w:proofErr w:type="spellStart"/>
            <w:r w:rsidR="0006617C" w:rsidRPr="007C47A9">
              <w:rPr>
                <w:rFonts w:ascii="Times New Roman" w:hAnsi="Times New Roman" w:cs="Times New Roman"/>
                <w:sz w:val="20"/>
                <w:szCs w:val="20"/>
              </w:rPr>
              <w:t>ewolokumabu</w:t>
            </w:r>
            <w:proofErr w:type="spellEnd"/>
            <w:r w:rsidR="0006617C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lub 8-18 lat dla </w:t>
            </w:r>
            <w:proofErr w:type="spellStart"/>
            <w:r w:rsidR="0006617C" w:rsidRPr="007C47A9">
              <w:rPr>
                <w:rFonts w:ascii="Times New Roman" w:hAnsi="Times New Roman" w:cs="Times New Roman"/>
                <w:sz w:val="20"/>
                <w:szCs w:val="20"/>
              </w:rPr>
              <w:t>alirokumabu</w:t>
            </w:r>
            <w:proofErr w:type="spellEnd"/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0577865" w14:textId="480616E3" w:rsidR="005D7B98" w:rsidRPr="007C47A9" w:rsidRDefault="005D7B98" w:rsidP="005E234D">
            <w:pPr>
              <w:pStyle w:val="Akapitzlist"/>
              <w:numPr>
                <w:ilvl w:val="3"/>
                <w:numId w:val="2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potwierdzona diagnoza hipercholesterolemii rodzinnej na podstawie wyniku: skali Dutch Lipid </w:t>
            </w:r>
            <w:proofErr w:type="spellStart"/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Clinic</w:t>
            </w:r>
            <w:proofErr w:type="spellEnd"/>
            <w:r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Network</w:t>
            </w:r>
            <w:r w:rsidR="006351CC" w:rsidRPr="007C47A9">
              <w:rPr>
                <w:rFonts w:ascii="Times New Roman" w:hAnsi="Times New Roman" w:cs="Times New Roman"/>
                <w:sz w:val="20"/>
                <w:szCs w:val="20"/>
              </w:rPr>
              <w:t>, tj. &gt;8 punktów</w:t>
            </w:r>
            <w:r w:rsidR="00DB788E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w przypadku </w:t>
            </w:r>
            <w:r w:rsidR="0074365C" w:rsidRPr="007C47A9">
              <w:rPr>
                <w:rFonts w:ascii="Times New Roman" w:hAnsi="Times New Roman" w:cs="Times New Roman"/>
                <w:sz w:val="20"/>
                <w:szCs w:val="20"/>
              </w:rPr>
              <w:t>heterozygotycznej hipercholesterolemii rodzinnej (</w:t>
            </w:r>
            <w:proofErr w:type="spellStart"/>
            <w:r w:rsidR="00DB788E" w:rsidRPr="007C47A9">
              <w:rPr>
                <w:rFonts w:ascii="Times New Roman" w:hAnsi="Times New Roman" w:cs="Times New Roman"/>
                <w:sz w:val="20"/>
                <w:szCs w:val="20"/>
              </w:rPr>
              <w:t>HeFH</w:t>
            </w:r>
            <w:proofErr w:type="spellEnd"/>
            <w:r w:rsidR="0074365C" w:rsidRPr="007C47A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DB788E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albo na podstawie badania genetycznego w przypadku </w:t>
            </w:r>
            <w:r w:rsidR="0074365C" w:rsidRPr="007C47A9">
              <w:rPr>
                <w:rFonts w:ascii="Times New Roman" w:hAnsi="Times New Roman" w:cs="Times New Roman"/>
                <w:sz w:val="20"/>
                <w:szCs w:val="20"/>
              </w:rPr>
              <w:t>homozygotycznej hipercholesterolemii rodzinnej (</w:t>
            </w:r>
            <w:proofErr w:type="spellStart"/>
            <w:r w:rsidR="00DB788E" w:rsidRPr="007C47A9">
              <w:rPr>
                <w:rFonts w:ascii="Times New Roman" w:hAnsi="Times New Roman" w:cs="Times New Roman"/>
                <w:sz w:val="20"/>
                <w:szCs w:val="20"/>
              </w:rPr>
              <w:t>HoFH</w:t>
            </w:r>
            <w:proofErr w:type="spellEnd"/>
            <w:r w:rsidR="0074365C" w:rsidRPr="007C47A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06617C" w:rsidRPr="007C47A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2DE6B06" w14:textId="55E2B10C" w:rsidR="005D7B98" w:rsidRPr="007C47A9" w:rsidRDefault="00206B6D" w:rsidP="005E234D">
            <w:pPr>
              <w:pStyle w:val="Akapitzlist"/>
              <w:numPr>
                <w:ilvl w:val="3"/>
                <w:numId w:val="2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LDL-C &gt; 100 mg/dl (2,5 </w:t>
            </w:r>
            <w:proofErr w:type="spellStart"/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mmol</w:t>
            </w:r>
            <w:proofErr w:type="spellEnd"/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/l) pomimo stosowania diety i:</w:t>
            </w:r>
          </w:p>
          <w:p w14:paraId="2DF499F1" w14:textId="77777777" w:rsidR="00220DAE" w:rsidRPr="007C47A9" w:rsidRDefault="00206B6D" w:rsidP="005E234D">
            <w:pPr>
              <w:pStyle w:val="Akapitzlist"/>
              <w:numPr>
                <w:ilvl w:val="4"/>
                <w:numId w:val="2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zoptymalizowanego leczenia </w:t>
            </w:r>
            <w:proofErr w:type="spellStart"/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hipolipemizującego</w:t>
            </w:r>
            <w:proofErr w:type="spellEnd"/>
            <w:r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zgodnie z obowiązującymi wytycznymi towarzystw naukowych w zakresie diagnostyki i leczenia zaburzeń lipidowych (PTL/KLRWP/PTK/PTDL/PTD/PTNT) (stosowanego nie krócej niż 3 miesiące</w:t>
            </w:r>
            <w:r w:rsidR="00A37894" w:rsidRPr="007C47A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220DAE" w:rsidRPr="007C47A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9317DE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2C40978" w14:textId="2CA8D1F7" w:rsidR="00206B6D" w:rsidRPr="007C47A9" w:rsidRDefault="00A37894" w:rsidP="005E234D">
            <w:pPr>
              <w:pStyle w:val="Akapitzlist"/>
              <w:spacing w:line="276" w:lineRule="auto"/>
              <w:ind w:left="680"/>
              <w:rPr>
                <w:rFonts w:ascii="Times New Roman" w:hAnsi="Times New Roman" w:cs="Times New Roman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Konieczne jest udokumentowanie zachowania prawidłowego </w:t>
            </w:r>
            <w:proofErr w:type="spellStart"/>
            <w:r w:rsidRPr="007C47A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compliance</w:t>
            </w:r>
            <w:proofErr w:type="spellEnd"/>
            <w:r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na podstawie realizacji recept w IKP.</w:t>
            </w:r>
          </w:p>
          <w:p w14:paraId="62C83144" w14:textId="1972DB87" w:rsidR="00206B6D" w:rsidRPr="007C47A9" w:rsidRDefault="00206B6D" w:rsidP="005E234D">
            <w:pPr>
              <w:spacing w:line="276" w:lineRule="auto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0E3C601E" w14:textId="1C014FC4" w:rsidR="00206B6D" w:rsidRPr="007C47A9" w:rsidRDefault="00206B6D" w:rsidP="005E234D">
            <w:pPr>
              <w:pStyle w:val="Akapitzlist"/>
              <w:numPr>
                <w:ilvl w:val="4"/>
                <w:numId w:val="2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pacjenci z całkowitą nietolerancją </w:t>
            </w:r>
            <w:proofErr w:type="spellStart"/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statyn</w:t>
            </w:r>
            <w:proofErr w:type="spellEnd"/>
            <w:r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, definiowaną według obowiązujących wytycznych towarzystw naukowych w zakresie diagnostyki i leczenia zaburzeń lipidowych (PTL/KLRWP/PTK/PTDL/PTD/PTNT), jako udokumentowany brak tolerancji co najmniej 2 </w:t>
            </w:r>
            <w:proofErr w:type="spellStart"/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statyn</w:t>
            </w:r>
            <w:proofErr w:type="spellEnd"/>
            <w:r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– jednej w najmniejszej początkowej dawce na dobę i drugiej w dowolnej dostępnej dawce (okres leczenia </w:t>
            </w:r>
            <w:proofErr w:type="spellStart"/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statynami</w:t>
            </w:r>
            <w:proofErr w:type="spellEnd"/>
            <w:r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ustalony przez lekarza prowadzącego, ale nie krótszy niż przez 3 miesiące).</w:t>
            </w:r>
          </w:p>
          <w:p w14:paraId="1407131D" w14:textId="77777777" w:rsidR="000E428C" w:rsidRPr="007C47A9" w:rsidRDefault="000E428C" w:rsidP="005E23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EEF5E2" w14:textId="4F36E635" w:rsidR="00A5475A" w:rsidRPr="007C47A9" w:rsidRDefault="00A5475A" w:rsidP="005E23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Ponadto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kwalifikowani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również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pacjenci,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4D85" w:rsidRPr="007C47A9">
              <w:rPr>
                <w:rFonts w:ascii="Times New Roman" w:hAnsi="Times New Roman" w:cs="Times New Roman"/>
                <w:sz w:val="20"/>
                <w:szCs w:val="20"/>
              </w:rPr>
              <w:t>wymagający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4D85" w:rsidRPr="007C47A9">
              <w:rPr>
                <w:rFonts w:ascii="Times New Roman" w:hAnsi="Times New Roman" w:cs="Times New Roman"/>
                <w:sz w:val="20"/>
                <w:szCs w:val="20"/>
              </w:rPr>
              <w:t>kontynuacji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4D85" w:rsidRPr="007C47A9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byli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substancjami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czynnymi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finansowanymi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lekowym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innego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sposobu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finansowania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(za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wyjątkiem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trwających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klinicznych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4D85" w:rsidRPr="007C47A9">
              <w:rPr>
                <w:rFonts w:ascii="Times New Roman" w:hAnsi="Times New Roman" w:cs="Times New Roman"/>
                <w:sz w:val="20"/>
                <w:szCs w:val="20"/>
              </w:rPr>
              <w:t>tych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4D85" w:rsidRPr="007C47A9">
              <w:rPr>
                <w:rFonts w:ascii="Times New Roman" w:hAnsi="Times New Roman" w:cs="Times New Roman"/>
                <w:sz w:val="20"/>
                <w:szCs w:val="20"/>
              </w:rPr>
              <w:t>leków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),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pod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warunkiem,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że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chwili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rozpoczęcia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spełniali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dotyczy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każdej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programie.</w:t>
            </w:r>
          </w:p>
          <w:p w14:paraId="4422062A" w14:textId="77777777" w:rsidR="008A1B15" w:rsidRPr="007C47A9" w:rsidRDefault="008A1B15" w:rsidP="005E234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32AC8E" w14:textId="78DB3A94" w:rsidR="00FE1A6A" w:rsidRPr="007C47A9" w:rsidRDefault="00A84DD1" w:rsidP="007C47A9">
            <w:pPr>
              <w:pStyle w:val="Akapitzlist"/>
              <w:numPr>
                <w:ilvl w:val="0"/>
                <w:numId w:val="27"/>
              </w:num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b/>
                <w:sz w:val="20"/>
                <w:szCs w:val="20"/>
              </w:rPr>
              <w:t>Określenie</w:t>
            </w:r>
            <w:r w:rsidR="000C30A8" w:rsidRPr="007C47A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/>
                <w:sz w:val="20"/>
                <w:szCs w:val="20"/>
              </w:rPr>
              <w:t>czasu</w:t>
            </w:r>
            <w:r w:rsidR="000C30A8" w:rsidRPr="007C47A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  <w:r w:rsidR="000C30A8" w:rsidRPr="007C47A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0C30A8" w:rsidRPr="007C47A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/>
                <w:sz w:val="20"/>
                <w:szCs w:val="20"/>
              </w:rPr>
              <w:t>programie</w:t>
            </w:r>
          </w:p>
          <w:p w14:paraId="03D0742D" w14:textId="58BE60F4" w:rsidR="00C058A9" w:rsidRPr="007C47A9" w:rsidRDefault="00804BF5" w:rsidP="00D41E4E">
            <w:pPr>
              <w:spacing w:line="276" w:lineRule="auto"/>
              <w:rPr>
                <w:rFonts w:ascii="Times New Roman" w:hAnsi="Times New Roman"/>
                <w:sz w:val="20"/>
              </w:rPr>
            </w:pP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4DD1" w:rsidRPr="007C47A9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4DD1" w:rsidRPr="007C47A9">
              <w:rPr>
                <w:rFonts w:ascii="Times New Roman" w:hAnsi="Times New Roman" w:cs="Times New Roman"/>
                <w:sz w:val="20"/>
                <w:szCs w:val="20"/>
              </w:rPr>
              <w:t>kontynuować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4DD1" w:rsidRPr="007C47A9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4DD1" w:rsidRPr="007C47A9">
              <w:rPr>
                <w:rFonts w:ascii="Times New Roman" w:hAnsi="Times New Roman" w:cs="Times New Roman"/>
                <w:sz w:val="20"/>
                <w:szCs w:val="20"/>
              </w:rPr>
              <w:t>momentu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4DD1" w:rsidRPr="007C47A9">
              <w:rPr>
                <w:rFonts w:ascii="Times New Roman" w:hAnsi="Times New Roman" w:cs="Times New Roman"/>
                <w:sz w:val="20"/>
                <w:szCs w:val="20"/>
              </w:rPr>
              <w:t>podjęcia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4DD1" w:rsidRPr="007C47A9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4DD1" w:rsidRPr="007C47A9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4DD1" w:rsidRPr="007C47A9">
              <w:rPr>
                <w:rFonts w:ascii="Times New Roman" w:hAnsi="Times New Roman" w:cs="Times New Roman"/>
                <w:sz w:val="20"/>
                <w:szCs w:val="20"/>
              </w:rPr>
              <w:t>decyzji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4DD1" w:rsidRPr="007C47A9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4DD1" w:rsidRPr="007C47A9">
              <w:rPr>
                <w:rFonts w:ascii="Times New Roman" w:hAnsi="Times New Roman" w:cs="Times New Roman"/>
                <w:sz w:val="20"/>
                <w:szCs w:val="20"/>
              </w:rPr>
              <w:t>wyłączeniu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4DD1" w:rsidRPr="007C47A9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4DD1" w:rsidRPr="007C47A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4DD1" w:rsidRPr="007C47A9">
              <w:rPr>
                <w:rFonts w:ascii="Times New Roman" w:hAnsi="Times New Roman" w:cs="Times New Roman"/>
                <w:sz w:val="20"/>
                <w:szCs w:val="20"/>
              </w:rPr>
              <w:t>program</w:t>
            </w:r>
            <w:r w:rsidR="00E04754" w:rsidRPr="007C47A9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4DD1" w:rsidRPr="007C47A9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4DD1" w:rsidRPr="007C47A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4DD1" w:rsidRPr="007C47A9">
              <w:rPr>
                <w:rFonts w:ascii="Times New Roman" w:hAnsi="Times New Roman" w:cs="Times New Roman"/>
                <w:sz w:val="20"/>
                <w:szCs w:val="20"/>
              </w:rPr>
              <w:t>kryteriami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4DD1" w:rsidRPr="007C47A9">
              <w:rPr>
                <w:rFonts w:ascii="Times New Roman" w:hAnsi="Times New Roman" w:cs="Times New Roman"/>
                <w:sz w:val="20"/>
                <w:szCs w:val="20"/>
              </w:rPr>
              <w:t>zakończenia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4DD1" w:rsidRPr="007C47A9">
              <w:rPr>
                <w:rFonts w:ascii="Times New Roman" w:hAnsi="Times New Roman" w:cs="Times New Roman"/>
                <w:sz w:val="20"/>
                <w:szCs w:val="20"/>
              </w:rPr>
              <w:t>udziału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4DD1" w:rsidRPr="007C47A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4DD1" w:rsidRPr="007C47A9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4DD1" w:rsidRPr="007C47A9">
              <w:rPr>
                <w:rFonts w:ascii="Times New Roman" w:hAnsi="Times New Roman" w:cs="Times New Roman"/>
                <w:sz w:val="20"/>
                <w:szCs w:val="20"/>
              </w:rPr>
              <w:t>przedstawionymi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4DD1" w:rsidRPr="007C47A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4DD1" w:rsidRPr="007C47A9">
              <w:rPr>
                <w:rFonts w:ascii="Times New Roman" w:hAnsi="Times New Roman" w:cs="Times New Roman"/>
                <w:sz w:val="20"/>
                <w:szCs w:val="20"/>
              </w:rPr>
              <w:t>punkcie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E0D35" w:rsidRPr="007C47A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C058A9" w:rsidRPr="007C47A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9AF37AF" w14:textId="506DA632" w:rsidR="004C05E9" w:rsidRPr="007C47A9" w:rsidRDefault="0079112E" w:rsidP="0079112E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Dla pacjentów zakwalifikowanych zgodnie z punktem 1.2.</w:t>
            </w:r>
            <w:r w:rsidR="00C20183" w:rsidRPr="007C47A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543F5" w:rsidRPr="007C47A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terapia może być kontynuowana </w:t>
            </w:r>
            <w:r w:rsidR="00C20183" w:rsidRPr="007C47A9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ukończeni</w:t>
            </w:r>
            <w:r w:rsidR="00C20183" w:rsidRPr="007C47A9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przez pacjenta 18 roku życia, </w:t>
            </w:r>
            <w:r w:rsidR="00C20183" w:rsidRPr="007C47A9">
              <w:rPr>
                <w:rFonts w:ascii="Times New Roman" w:hAnsi="Times New Roman" w:cs="Times New Roman"/>
                <w:sz w:val="20"/>
                <w:szCs w:val="20"/>
              </w:rPr>
              <w:t>pod warunkiem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p</w:t>
            </w:r>
            <w:r w:rsidR="00E157D5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rzeniesieni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a</w:t>
            </w:r>
            <w:r w:rsidR="00E157D5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leczenia</w:t>
            </w:r>
            <w:r w:rsidR="00E157D5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do ośrodka dla dorosłych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zgodnie z </w:t>
            </w:r>
            <w:proofErr w:type="spellStart"/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ppkt</w:t>
            </w:r>
            <w:proofErr w:type="spellEnd"/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. 1.2.1.3.</w:t>
            </w:r>
            <w:r w:rsidR="00C20183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albo 1.2.3.3.</w:t>
            </w:r>
            <w:r w:rsidR="004C05E9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14:paraId="6F059B97" w14:textId="77777777" w:rsidR="00D7797F" w:rsidRPr="007C47A9" w:rsidRDefault="00D7797F" w:rsidP="00D41E4E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215667" w14:textId="4E160540" w:rsidR="00302FEF" w:rsidRPr="007C47A9" w:rsidRDefault="00302FEF" w:rsidP="007C47A9">
            <w:pPr>
              <w:pStyle w:val="Akapitzlist"/>
              <w:keepNext/>
              <w:numPr>
                <w:ilvl w:val="0"/>
                <w:numId w:val="27"/>
              </w:numPr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Zamiana</w:t>
            </w:r>
            <w:r w:rsidR="000C30A8" w:rsidRPr="007C47A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leków</w:t>
            </w:r>
          </w:p>
          <w:p w14:paraId="546ACDF1" w14:textId="72EB6A88" w:rsidR="00AA134E" w:rsidRPr="007C47A9" w:rsidRDefault="00A0733C" w:rsidP="00D41E4E">
            <w:pPr>
              <w:keepNext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</w:t>
            </w:r>
            <w:r w:rsidR="000C30A8" w:rsidRPr="007C47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przypadku</w:t>
            </w:r>
            <w:r w:rsidR="000C30A8" w:rsidRPr="007C47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5D7B98" w:rsidRPr="007C47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wystąpienia u pacjentów w wieku 18 lat i powyżej,</w:t>
            </w:r>
            <w:r w:rsidR="000C30A8" w:rsidRPr="007C47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objawów</w:t>
            </w:r>
            <w:r w:rsidR="000C30A8" w:rsidRPr="007C47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niepożądanych</w:t>
            </w:r>
            <w:r w:rsidR="000C30A8" w:rsidRPr="007C47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albo</w:t>
            </w:r>
            <w:r w:rsidR="000C30A8" w:rsidRPr="007C47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okoliczności</w:t>
            </w:r>
            <w:r w:rsidR="000C30A8" w:rsidRPr="007C47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wskazanych</w:t>
            </w:r>
            <w:r w:rsidR="000C30A8" w:rsidRPr="007C47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</w:t>
            </w:r>
            <w:r w:rsidR="000C30A8" w:rsidRPr="007C47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pkt.</w:t>
            </w:r>
            <w:r w:rsidR="000C30A8" w:rsidRPr="007C47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4.2.,</w:t>
            </w:r>
            <w:r w:rsidR="000C30A8" w:rsidRPr="007C47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albo</w:t>
            </w:r>
            <w:r w:rsidR="000C30A8" w:rsidRPr="007C47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ze</w:t>
            </w:r>
            <w:r w:rsidR="000C30A8" w:rsidRPr="007C47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względu</w:t>
            </w:r>
            <w:r w:rsidR="000C30A8" w:rsidRPr="007C47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</w:t>
            </w:r>
            <w:r w:rsidR="000C30A8" w:rsidRPr="007C47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bezpieczeństwo</w:t>
            </w:r>
            <w:r w:rsidR="000C30A8" w:rsidRPr="007C47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pacjenta</w:t>
            </w:r>
            <w:r w:rsidR="000C30A8" w:rsidRPr="007C47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dopuszcza</w:t>
            </w:r>
            <w:r w:rsidR="000C30A8" w:rsidRPr="007C47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się</w:t>
            </w:r>
            <w:r w:rsidR="000C30A8" w:rsidRPr="007C47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możliwość</w:t>
            </w:r>
            <w:r w:rsidR="000C30A8" w:rsidRPr="007C47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zamiany</w:t>
            </w:r>
            <w:r w:rsidR="000C30A8" w:rsidRPr="007C47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leków</w:t>
            </w:r>
            <w:r w:rsidR="00AA134E" w:rsidRPr="007C47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14:paraId="44ED8099" w14:textId="31B23F2A" w:rsidR="00AA134E" w:rsidRPr="007C47A9" w:rsidRDefault="00C62DE2" w:rsidP="007C47A9">
            <w:pPr>
              <w:pStyle w:val="Akapitzlist"/>
              <w:keepNext/>
              <w:numPr>
                <w:ilvl w:val="4"/>
                <w:numId w:val="27"/>
              </w:numPr>
              <w:spacing w:line="276" w:lineRule="auto"/>
              <w:ind w:left="454" w:hanging="22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7C47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</w:t>
            </w:r>
            <w:r w:rsidR="00302FEF" w:rsidRPr="007C47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lirokumab</w:t>
            </w:r>
            <w:proofErr w:type="spellEnd"/>
            <w:r w:rsidR="000C30A8" w:rsidRPr="007C47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AA134E" w:rsidRPr="007C47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lub</w:t>
            </w:r>
            <w:r w:rsidR="000C30A8" w:rsidRPr="007C47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302FEF" w:rsidRPr="007C47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ewolokumab</w:t>
            </w:r>
            <w:proofErr w:type="spellEnd"/>
            <w:r w:rsidR="000C30A8" w:rsidRPr="007C47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302FEF" w:rsidRPr="007C47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</w:t>
            </w:r>
            <w:r w:rsidR="000C30A8" w:rsidRPr="007C47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302FEF" w:rsidRPr="007C47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inklisiran</w:t>
            </w:r>
            <w:proofErr w:type="spellEnd"/>
            <w:r w:rsidR="00F46FCF" w:rsidRPr="007C47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14:paraId="1F05EF3E" w14:textId="2FB13AB3" w:rsidR="00AA134E" w:rsidRPr="007C47A9" w:rsidRDefault="00302FEF" w:rsidP="00A57CFD">
            <w:pPr>
              <w:pStyle w:val="Akapitzlist"/>
              <w:keepNext/>
              <w:spacing w:line="276" w:lineRule="auto"/>
              <w:ind w:left="454" w:hanging="22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lub</w:t>
            </w:r>
          </w:p>
          <w:p w14:paraId="22492944" w14:textId="65263543" w:rsidR="00AA134E" w:rsidRPr="007C47A9" w:rsidRDefault="00302FEF" w:rsidP="007C47A9">
            <w:pPr>
              <w:pStyle w:val="Akapitzlist"/>
              <w:keepNext/>
              <w:numPr>
                <w:ilvl w:val="4"/>
                <w:numId w:val="27"/>
              </w:numPr>
              <w:spacing w:line="276" w:lineRule="auto"/>
              <w:ind w:left="454" w:hanging="22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7C47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inklisiran</w:t>
            </w:r>
            <w:proofErr w:type="spellEnd"/>
            <w:r w:rsidR="000C30A8" w:rsidRPr="007C47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</w:t>
            </w:r>
            <w:r w:rsidR="000C30A8" w:rsidRPr="007C47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47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alirokumab</w:t>
            </w:r>
            <w:proofErr w:type="spellEnd"/>
            <w:r w:rsidR="000C30A8" w:rsidRPr="007C47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lub</w:t>
            </w:r>
            <w:r w:rsidR="000C30A8" w:rsidRPr="007C47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47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ewolokumab</w:t>
            </w:r>
            <w:proofErr w:type="spellEnd"/>
            <w:r w:rsidRPr="007C47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="000C30A8" w:rsidRPr="007C47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093FAEF2" w14:textId="4F43578E" w:rsidR="00302FEF" w:rsidRPr="007C47A9" w:rsidRDefault="00302FEF" w:rsidP="00D41E4E">
            <w:pPr>
              <w:keepNext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Niedopuszczalna</w:t>
            </w:r>
            <w:r w:rsidR="000C30A8" w:rsidRPr="007C47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jest</w:t>
            </w:r>
            <w:r w:rsidR="000C30A8" w:rsidRPr="007C47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zamiana</w:t>
            </w:r>
            <w:r w:rsidR="000C30A8" w:rsidRPr="007C47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leków</w:t>
            </w:r>
            <w:r w:rsidR="000C30A8" w:rsidRPr="007C47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</w:t>
            </w:r>
            <w:r w:rsidR="000C30A8" w:rsidRPr="007C47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obrębie</w:t>
            </w:r>
            <w:r w:rsidR="000C30A8" w:rsidRPr="007C47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tej</w:t>
            </w:r>
            <w:r w:rsidR="000C30A8" w:rsidRPr="007C47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samej</w:t>
            </w:r>
            <w:r w:rsidR="000C30A8" w:rsidRPr="007C47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grupy</w:t>
            </w:r>
            <w:r w:rsidR="000C30A8" w:rsidRPr="007C47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farmakoterapeutycznej,</w:t>
            </w:r>
            <w:r w:rsidR="000C30A8" w:rsidRPr="007C47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rozumiana</w:t>
            </w:r>
            <w:r w:rsidR="000C30A8" w:rsidRPr="007C47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jako</w:t>
            </w:r>
            <w:r w:rsidR="000C30A8" w:rsidRPr="007C47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zamiana</w:t>
            </w:r>
            <w:r w:rsidR="000C30A8" w:rsidRPr="007C47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leczenia</w:t>
            </w:r>
            <w:r w:rsidR="000C30A8" w:rsidRPr="007C47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47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alirokumabem</w:t>
            </w:r>
            <w:proofErr w:type="spellEnd"/>
            <w:r w:rsidR="000C30A8" w:rsidRPr="007C47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</w:t>
            </w:r>
            <w:r w:rsidR="000C30A8" w:rsidRPr="007C47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47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ewolokumab</w:t>
            </w:r>
            <w:proofErr w:type="spellEnd"/>
            <w:r w:rsidR="000C30A8" w:rsidRPr="007C47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albo</w:t>
            </w:r>
            <w:r w:rsidR="000C30A8" w:rsidRPr="007C47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47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ewolokumabem</w:t>
            </w:r>
            <w:proofErr w:type="spellEnd"/>
            <w:r w:rsidR="000C30A8" w:rsidRPr="007C47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</w:t>
            </w:r>
            <w:r w:rsidR="000C30A8" w:rsidRPr="007C47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47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alirokumab</w:t>
            </w:r>
            <w:proofErr w:type="spellEnd"/>
            <w:r w:rsidRPr="007C47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02ABB7C1" w14:textId="3E8D6D87" w:rsidR="007D5B00" w:rsidRPr="007C47A9" w:rsidRDefault="007D5B00" w:rsidP="00D41E4E">
            <w:pPr>
              <w:keepNext/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Powyższe nie dotyczy pacjentów z homozygotyczną hipercholesterolemią rodzinną.</w:t>
            </w:r>
          </w:p>
          <w:p w14:paraId="66BAC23E" w14:textId="77777777" w:rsidR="00302FEF" w:rsidRPr="007C47A9" w:rsidRDefault="00302FEF" w:rsidP="00D41E4E">
            <w:pPr>
              <w:keepNext/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6C44B30C" w14:textId="55A85AAA" w:rsidR="00F51A5F" w:rsidRPr="007C47A9" w:rsidRDefault="00F51A5F" w:rsidP="007C47A9">
            <w:pPr>
              <w:pStyle w:val="Akapitzlist"/>
              <w:keepNext/>
              <w:numPr>
                <w:ilvl w:val="0"/>
                <w:numId w:val="27"/>
              </w:num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1" w:name="_Hlk161174266"/>
            <w:r w:rsidRPr="007C47A9">
              <w:rPr>
                <w:rFonts w:ascii="Times New Roman" w:hAnsi="Times New Roman" w:cs="Times New Roman"/>
                <w:b/>
                <w:sz w:val="20"/>
                <w:szCs w:val="20"/>
              </w:rPr>
              <w:t>Kryteria</w:t>
            </w:r>
            <w:r w:rsidR="000C30A8" w:rsidRPr="007C47A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/>
                <w:sz w:val="20"/>
                <w:szCs w:val="20"/>
              </w:rPr>
              <w:t>wyłączenia</w:t>
            </w:r>
            <w:r w:rsidR="000C30A8" w:rsidRPr="007C47A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/>
                <w:sz w:val="20"/>
                <w:szCs w:val="20"/>
              </w:rPr>
              <w:t>z</w:t>
            </w:r>
            <w:r w:rsidR="000C30A8" w:rsidRPr="007C47A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/>
                <w:sz w:val="20"/>
                <w:szCs w:val="20"/>
              </w:rPr>
              <w:t>programu</w:t>
            </w:r>
          </w:p>
          <w:p w14:paraId="6C10098C" w14:textId="48FC18FE" w:rsidR="00F51A5F" w:rsidRPr="007C47A9" w:rsidRDefault="00F51A5F" w:rsidP="007C47A9">
            <w:pPr>
              <w:pStyle w:val="Akapitzlist"/>
              <w:numPr>
                <w:ilvl w:val="3"/>
                <w:numId w:val="30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wystąpienie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ciężkich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reakcji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alergicznych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podaniu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leku;</w:t>
            </w:r>
          </w:p>
          <w:p w14:paraId="6AB2AAD5" w14:textId="77D11262" w:rsidR="00D87CBA" w:rsidRPr="007C47A9" w:rsidRDefault="00D87CBA" w:rsidP="007C47A9">
            <w:pPr>
              <w:pStyle w:val="Akapitzlist"/>
              <w:numPr>
                <w:ilvl w:val="3"/>
                <w:numId w:val="30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skuteczności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0A171B" w:rsidRPr="007C47A9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3E020CE1" w14:textId="586AFACD" w:rsidR="00D41E4E" w:rsidRPr="007C47A9" w:rsidRDefault="000060BA" w:rsidP="007C47A9">
            <w:pPr>
              <w:pStyle w:val="Akapitzlist"/>
              <w:numPr>
                <w:ilvl w:val="4"/>
                <w:numId w:val="30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alirokumabem</w:t>
            </w:r>
            <w:proofErr w:type="spellEnd"/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ewolokumabem</w:t>
            </w:r>
            <w:proofErr w:type="spellEnd"/>
            <w:r w:rsidR="00926A15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(dotyczy pacjentów </w:t>
            </w:r>
            <w:r w:rsidR="00530286" w:rsidRPr="007C47A9">
              <w:rPr>
                <w:rFonts w:ascii="Times New Roman" w:hAnsi="Times New Roman" w:cs="Times New Roman"/>
                <w:sz w:val="20"/>
                <w:szCs w:val="20"/>
              </w:rPr>
              <w:t>dorosłych</w:t>
            </w:r>
            <w:r w:rsidR="00926A15" w:rsidRPr="007C47A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rozumiany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jako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redukcja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LDL-C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30%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pierwszych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miesiącach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każdych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kolejnych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miesiącach,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inklisiranem</w:t>
            </w:r>
            <w:proofErr w:type="spellEnd"/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rozumiany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jako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redukcja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LDL-C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30%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pierwszych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miesiącach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każdych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kolejnych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miesiącach,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5BE16DA" w14:textId="4F67039A" w:rsidR="00D87CBA" w:rsidRPr="007C47A9" w:rsidRDefault="000060BA" w:rsidP="00D41E4E">
            <w:pPr>
              <w:pStyle w:val="Akapitzlist"/>
              <w:spacing w:line="276" w:lineRule="auto"/>
              <w:ind w:left="680"/>
              <w:rPr>
                <w:rFonts w:ascii="Times New Roman" w:hAnsi="Times New Roman" w:cs="Times New Roman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potwierdzona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dwóch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kolejnych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pomiarach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23134" w:rsidRPr="007C47A9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LDL-</w:t>
            </w:r>
            <w:r w:rsidR="00523134" w:rsidRPr="007C47A9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(wykonanych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547CD" w:rsidRPr="007C47A9">
              <w:rPr>
                <w:rFonts w:ascii="Times New Roman" w:hAnsi="Times New Roman" w:cs="Times New Roman"/>
                <w:sz w:val="20"/>
                <w:szCs w:val="20"/>
              </w:rPr>
              <w:t>odstępie do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maksymalnie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miesiąca),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stosunku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wartości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wyjściowej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określonej:</w:t>
            </w:r>
          </w:p>
          <w:p w14:paraId="5F743F0A" w14:textId="06F1B002" w:rsidR="00D87CBA" w:rsidRPr="007C47A9" w:rsidRDefault="00D87CBA" w:rsidP="007C47A9">
            <w:pPr>
              <w:pStyle w:val="Akapitzlist"/>
              <w:numPr>
                <w:ilvl w:val="5"/>
                <w:numId w:val="30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momencie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włączenia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lekowego,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włączonych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podpunktami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1.2.1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9120A0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albo 1.2.3. albo</w:t>
            </w:r>
            <w:r w:rsidR="00530286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  <w:r w:rsidR="003D0EA0" w:rsidRPr="007C47A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9120A0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albo 1.2.5.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83D2A" w:rsidRPr="007C47A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wyjątkiem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zamiany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opisanej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pkt.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3),</w:t>
            </w:r>
          </w:p>
          <w:p w14:paraId="5DBC6B32" w14:textId="20852DD9" w:rsidR="00D87CBA" w:rsidRPr="007C47A9" w:rsidRDefault="00D87CBA" w:rsidP="007C47A9">
            <w:pPr>
              <w:pStyle w:val="Akapitzlist"/>
              <w:numPr>
                <w:ilvl w:val="5"/>
                <w:numId w:val="30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momencie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rozpoczęcia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terapii,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714B44" w:rsidRPr="007C47A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4B44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którzy byli leczeni substancjami czynnymi finansowanymi w programie lekowym w ramach innego sposobu finansowania terapii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(z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wyjątkiem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zamiany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opisanej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pkt.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3);</w:t>
            </w:r>
          </w:p>
          <w:p w14:paraId="35F03741" w14:textId="72383CC7" w:rsidR="007E495D" w:rsidRPr="007C47A9" w:rsidRDefault="00D87CBA" w:rsidP="007C47A9">
            <w:pPr>
              <w:pStyle w:val="Akapitzlist"/>
              <w:numPr>
                <w:ilvl w:val="4"/>
                <w:numId w:val="30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lomitapidem</w:t>
            </w:r>
            <w:proofErr w:type="spellEnd"/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495D" w:rsidRPr="007C47A9">
              <w:rPr>
                <w:rFonts w:ascii="Times New Roman" w:hAnsi="Times New Roman" w:cs="Times New Roman"/>
                <w:sz w:val="20"/>
                <w:szCs w:val="20"/>
              </w:rPr>
              <w:t>rozumiany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495D" w:rsidRPr="007C47A9">
              <w:rPr>
                <w:rFonts w:ascii="Times New Roman" w:hAnsi="Times New Roman" w:cs="Times New Roman"/>
                <w:sz w:val="20"/>
                <w:szCs w:val="20"/>
              </w:rPr>
              <w:t>jako:</w:t>
            </w:r>
          </w:p>
          <w:p w14:paraId="3595A191" w14:textId="654DFB84" w:rsidR="007E495D" w:rsidRPr="007C47A9" w:rsidRDefault="007E495D" w:rsidP="007C47A9">
            <w:pPr>
              <w:pStyle w:val="Akapitzlist"/>
              <w:numPr>
                <w:ilvl w:val="5"/>
                <w:numId w:val="30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redukcja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LDL-C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40%,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wymagających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redukcji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LDL-C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przynajmniej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40%,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LDL-C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wyższe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mmol</w:t>
            </w:r>
            <w:proofErr w:type="spellEnd"/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/L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wymagających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mniejszej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40%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redukcji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LDL-C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4A42" w:rsidRPr="007C47A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stosunku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wartości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wyjściowej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określonej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momencie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włączenia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B64A42" w:rsidRPr="007C47A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pierwszych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miesiącach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każdych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kolejnych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miesiącach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32967" w:rsidRPr="007C47A9">
              <w:rPr>
                <w:rFonts w:ascii="Times New Roman" w:hAnsi="Times New Roman" w:cs="Times New Roman"/>
                <w:sz w:val="20"/>
                <w:szCs w:val="20"/>
              </w:rPr>
              <w:t>, potwierdzona w dwóch kolejnych pomiarach stężenia LDL-C (wykonanych w odstępie do maksymalnie 1 miesiąca)</w:t>
            </w:r>
            <w:r w:rsidR="000A171B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dotyczy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pacjentów,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byli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wcześniej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LDL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aferezą;</w:t>
            </w:r>
          </w:p>
          <w:p w14:paraId="558596AA" w14:textId="08B8B097" w:rsidR="00032967" w:rsidRPr="007C47A9" w:rsidRDefault="00C0274C" w:rsidP="007C47A9">
            <w:pPr>
              <w:pStyle w:val="Akapitzlist"/>
              <w:numPr>
                <w:ilvl w:val="5"/>
                <w:numId w:val="30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7A9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redukcja</w:t>
            </w:r>
            <w:r w:rsidR="000C30A8" w:rsidRPr="007C47A9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0C30A8" w:rsidRPr="007C47A9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LDL-C</w:t>
            </w:r>
            <w:r w:rsidR="000C30A8" w:rsidRPr="007C47A9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o</w:t>
            </w:r>
            <w:r w:rsidR="000C30A8" w:rsidRPr="007C47A9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&lt;</w:t>
            </w:r>
            <w:r w:rsidR="000C30A8" w:rsidRPr="007C47A9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40%,</w:t>
            </w:r>
            <w:r w:rsidR="000C30A8" w:rsidRPr="007C47A9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u</w:t>
            </w:r>
            <w:r w:rsidR="000C30A8" w:rsidRPr="007C47A9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0C30A8" w:rsidRPr="007C47A9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wymagających</w:t>
            </w:r>
            <w:r w:rsidR="000C30A8" w:rsidRPr="007C47A9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redukcji</w:t>
            </w:r>
            <w:r w:rsidR="000C30A8" w:rsidRPr="007C47A9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0C30A8" w:rsidRPr="007C47A9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LDL-C</w:t>
            </w:r>
            <w:r w:rsidR="000C30A8" w:rsidRPr="007C47A9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o</w:t>
            </w:r>
            <w:r w:rsidR="000C30A8" w:rsidRPr="007C47A9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przynajmniej</w:t>
            </w:r>
            <w:r w:rsidR="000C30A8" w:rsidRPr="007C47A9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40%</w:t>
            </w:r>
            <w:r w:rsidR="000C30A8" w:rsidRPr="007C47A9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oraz</w:t>
            </w:r>
            <w:r w:rsidR="000C30A8" w:rsidRPr="007C47A9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zmniejszenie</w:t>
            </w:r>
            <w:r w:rsidR="000C30A8" w:rsidRPr="007C47A9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o</w:t>
            </w:r>
            <w:r w:rsidR="000C30A8" w:rsidRPr="007C47A9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mniej</w:t>
            </w:r>
            <w:r w:rsidR="000C30A8" w:rsidRPr="007C47A9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niż</w:t>
            </w:r>
            <w:r w:rsidR="000C30A8" w:rsidRPr="007C47A9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50%</w:t>
            </w:r>
            <w:r w:rsidR="000C30A8" w:rsidRPr="007C47A9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liczby</w:t>
            </w:r>
            <w:r w:rsidR="000C30A8" w:rsidRPr="007C47A9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wymaganych</w:t>
            </w:r>
            <w:r w:rsidR="000C30A8" w:rsidRPr="007C47A9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zabiegów</w:t>
            </w:r>
            <w:r w:rsidR="000C30A8" w:rsidRPr="007C47A9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aferezy</w:t>
            </w:r>
            <w:r w:rsidR="000C30A8" w:rsidRPr="007C47A9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albo</w:t>
            </w:r>
            <w:r w:rsidR="000C30A8" w:rsidRPr="007C47A9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0C30A8" w:rsidRPr="007C47A9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LDL-C</w:t>
            </w:r>
            <w:r w:rsidR="000C30A8" w:rsidRPr="007C47A9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wyższe</w:t>
            </w:r>
            <w:r w:rsidR="000C30A8" w:rsidRPr="007C47A9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niż</w:t>
            </w:r>
            <w:r w:rsidR="000C30A8" w:rsidRPr="007C47A9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2</w:t>
            </w:r>
            <w:r w:rsidR="000C30A8" w:rsidRPr="007C47A9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47A9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mmol</w:t>
            </w:r>
            <w:proofErr w:type="spellEnd"/>
            <w:r w:rsidRPr="007C47A9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/L</w:t>
            </w:r>
            <w:r w:rsidR="000C30A8" w:rsidRPr="007C47A9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u</w:t>
            </w:r>
            <w:r w:rsidR="000C30A8" w:rsidRPr="007C47A9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0C30A8" w:rsidRPr="007C47A9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wymagających</w:t>
            </w:r>
            <w:r w:rsidR="000C30A8" w:rsidRPr="007C47A9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mniejszej</w:t>
            </w:r>
            <w:r w:rsidR="000C30A8" w:rsidRPr="007C47A9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niż</w:t>
            </w:r>
            <w:r w:rsidR="000C30A8" w:rsidRPr="007C47A9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40%</w:t>
            </w:r>
            <w:r w:rsidR="000C30A8" w:rsidRPr="007C47A9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redukcji</w:t>
            </w:r>
            <w:r w:rsidR="000C30A8" w:rsidRPr="007C47A9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0C30A8" w:rsidRPr="007C47A9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LDL-C</w:t>
            </w:r>
            <w:r w:rsidR="000C30A8" w:rsidRPr="007C47A9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oraz</w:t>
            </w:r>
            <w:r w:rsidR="000C30A8" w:rsidRPr="007C47A9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zmniejszenie</w:t>
            </w:r>
            <w:r w:rsidR="000C30A8" w:rsidRPr="007C47A9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o</w:t>
            </w:r>
            <w:r w:rsidR="000C30A8" w:rsidRPr="007C47A9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mniej</w:t>
            </w:r>
            <w:r w:rsidR="000C30A8" w:rsidRPr="007C47A9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niż</w:t>
            </w:r>
            <w:r w:rsidR="000C30A8" w:rsidRPr="007C47A9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50%</w:t>
            </w:r>
            <w:r w:rsidR="000C30A8" w:rsidRPr="007C47A9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liczby</w:t>
            </w:r>
            <w:r w:rsidR="000C30A8" w:rsidRPr="007C47A9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wymaganych</w:t>
            </w:r>
            <w:r w:rsidR="000C30A8" w:rsidRPr="007C47A9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zabiegów</w:t>
            </w:r>
            <w:r w:rsidR="000C30A8" w:rsidRPr="007C47A9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aferezy</w:t>
            </w:r>
            <w:r w:rsidR="000C30A8" w:rsidRPr="007C47A9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4A42" w:rsidRPr="007C47A9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(</w:t>
            </w:r>
            <w:r w:rsidR="00D87CBA" w:rsidRPr="007C47A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7CBA" w:rsidRPr="007C47A9">
              <w:rPr>
                <w:rFonts w:ascii="Times New Roman" w:hAnsi="Times New Roman" w:cs="Times New Roman"/>
                <w:sz w:val="20"/>
                <w:szCs w:val="20"/>
              </w:rPr>
              <w:t>stosunku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7CBA" w:rsidRPr="007C47A9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7CBA" w:rsidRPr="007C47A9">
              <w:rPr>
                <w:rFonts w:ascii="Times New Roman" w:hAnsi="Times New Roman" w:cs="Times New Roman"/>
                <w:sz w:val="20"/>
                <w:szCs w:val="20"/>
              </w:rPr>
              <w:t>wartości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7CBA" w:rsidRPr="007C47A9">
              <w:rPr>
                <w:rFonts w:ascii="Times New Roman" w:hAnsi="Times New Roman" w:cs="Times New Roman"/>
                <w:sz w:val="20"/>
                <w:szCs w:val="20"/>
              </w:rPr>
              <w:t>wyjściowej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7CBA" w:rsidRPr="007C47A9">
              <w:rPr>
                <w:rFonts w:ascii="Times New Roman" w:hAnsi="Times New Roman" w:cs="Times New Roman"/>
                <w:sz w:val="20"/>
                <w:szCs w:val="20"/>
              </w:rPr>
              <w:t>określonej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7CBA" w:rsidRPr="007C47A9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7CBA" w:rsidRPr="007C47A9">
              <w:rPr>
                <w:rFonts w:ascii="Times New Roman" w:hAnsi="Times New Roman" w:cs="Times New Roman"/>
                <w:sz w:val="20"/>
                <w:szCs w:val="20"/>
              </w:rPr>
              <w:t>rozpoczęciem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7CBA" w:rsidRPr="007C47A9">
              <w:rPr>
                <w:rFonts w:ascii="Times New Roman" w:hAnsi="Times New Roman" w:cs="Times New Roman"/>
                <w:sz w:val="20"/>
                <w:szCs w:val="20"/>
              </w:rPr>
              <w:t>procedury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7CBA" w:rsidRPr="007C47A9">
              <w:rPr>
                <w:rFonts w:ascii="Times New Roman" w:hAnsi="Times New Roman" w:cs="Times New Roman"/>
                <w:sz w:val="20"/>
                <w:szCs w:val="20"/>
              </w:rPr>
              <w:t>LDL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7CBA" w:rsidRPr="007C47A9">
              <w:rPr>
                <w:rFonts w:ascii="Times New Roman" w:hAnsi="Times New Roman" w:cs="Times New Roman"/>
                <w:sz w:val="20"/>
                <w:szCs w:val="20"/>
              </w:rPr>
              <w:t>aferezy</w:t>
            </w:r>
            <w:r w:rsidR="00B64A42" w:rsidRPr="007C47A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pierwszych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miesiącach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każdych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kolejnych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miesiącach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A171B" w:rsidRPr="007C47A9">
              <w:rPr>
                <w:rFonts w:ascii="Times New Roman" w:hAnsi="Times New Roman" w:cs="Times New Roman"/>
                <w:sz w:val="20"/>
                <w:szCs w:val="20"/>
              </w:rPr>
              <w:t>, potwierdzona w dwóch kolejnych pomiarach stężenia LDL-C (wykonanych w odstępie do maksymalnie 1 miesiąca) -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dotyczy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7CBA" w:rsidRPr="007C47A9">
              <w:rPr>
                <w:rFonts w:ascii="Times New Roman" w:hAnsi="Times New Roman" w:cs="Times New Roman"/>
                <w:sz w:val="20"/>
                <w:szCs w:val="20"/>
              </w:rPr>
              <w:t>pacjentów,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7CBA" w:rsidRPr="007C47A9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7CBA" w:rsidRPr="007C47A9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7CBA" w:rsidRPr="007C47A9">
              <w:rPr>
                <w:rFonts w:ascii="Times New Roman" w:hAnsi="Times New Roman" w:cs="Times New Roman"/>
                <w:sz w:val="20"/>
                <w:szCs w:val="20"/>
              </w:rPr>
              <w:t>była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7CBA" w:rsidRPr="007C47A9">
              <w:rPr>
                <w:rFonts w:ascii="Times New Roman" w:hAnsi="Times New Roman" w:cs="Times New Roman"/>
                <w:sz w:val="20"/>
                <w:szCs w:val="20"/>
              </w:rPr>
              <w:t>stosowana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LDL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afere</w:t>
            </w:r>
            <w:r w:rsidR="00B64A42" w:rsidRPr="007C47A9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7CBA" w:rsidRPr="007C47A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7CBA" w:rsidRPr="007C47A9">
              <w:rPr>
                <w:rFonts w:ascii="Times New Roman" w:hAnsi="Times New Roman" w:cs="Times New Roman"/>
                <w:sz w:val="20"/>
                <w:szCs w:val="20"/>
              </w:rPr>
              <w:t>chwili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7CBA" w:rsidRPr="007C47A9">
              <w:rPr>
                <w:rFonts w:ascii="Times New Roman" w:hAnsi="Times New Roman" w:cs="Times New Roman"/>
                <w:sz w:val="20"/>
                <w:szCs w:val="20"/>
              </w:rPr>
              <w:t>włączenia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7CBA" w:rsidRPr="007C47A9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7CBA" w:rsidRPr="007C47A9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7CBA" w:rsidRPr="007C47A9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716FE8" w:rsidRPr="007C47A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FA08F25" w14:textId="6D1B298C" w:rsidR="003E6A94" w:rsidRPr="007C47A9" w:rsidRDefault="003E6A94" w:rsidP="007C47A9">
            <w:pPr>
              <w:pStyle w:val="Akapitzlist"/>
              <w:numPr>
                <w:ilvl w:val="4"/>
                <w:numId w:val="30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w przypadku leczenia </w:t>
            </w:r>
            <w:proofErr w:type="spellStart"/>
            <w:r w:rsidR="004F1AC0" w:rsidRPr="007C47A9">
              <w:rPr>
                <w:rFonts w:ascii="Times New Roman" w:hAnsi="Times New Roman" w:cs="Times New Roman"/>
                <w:sz w:val="20"/>
                <w:szCs w:val="20"/>
              </w:rPr>
              <w:t>alirokumabem</w:t>
            </w:r>
            <w:proofErr w:type="spellEnd"/>
            <w:r w:rsidR="004F1AC0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0023B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lub </w:t>
            </w:r>
            <w:proofErr w:type="spellStart"/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ewolokumabem</w:t>
            </w:r>
            <w:proofErr w:type="spellEnd"/>
            <w:r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(dotyczy pacjentów</w:t>
            </w:r>
            <w:r w:rsidR="00EA280B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pediatrycznych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): rozumiany jako redukcja stężenia LDL-C o &lt; 5 %, po pierwszych 3 miesiącach leczenia, a następnie po każdych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kolejnych 6 miesiącach leczenia, potwierdzona w dwóch kolejnych pomiarach stężenia LDL-C (wykonanych w odstępie do maksymalnie 1 miesiąca), w stosunku do wartości wyjściowej określonej:</w:t>
            </w:r>
          </w:p>
          <w:p w14:paraId="7DA065C4" w14:textId="170DA792" w:rsidR="003E6A94" w:rsidRPr="007C47A9" w:rsidRDefault="003E6A94" w:rsidP="007C47A9">
            <w:pPr>
              <w:pStyle w:val="Akapitzlist"/>
              <w:numPr>
                <w:ilvl w:val="5"/>
                <w:numId w:val="30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w momencie włączenia do programu lekowego, w przypadku pacjentów włączonych do programu zgodnie z podpunkt</w:t>
            </w:r>
            <w:r w:rsidR="009120A0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em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1.2.5.,</w:t>
            </w:r>
          </w:p>
          <w:p w14:paraId="68957018" w14:textId="51E8625E" w:rsidR="007D5310" w:rsidRPr="007C47A9" w:rsidRDefault="003E6A94" w:rsidP="007C47A9">
            <w:pPr>
              <w:pStyle w:val="Akapitzlist"/>
              <w:numPr>
                <w:ilvl w:val="5"/>
                <w:numId w:val="30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w momencie rozpoczęcia terapii, w przypadku pacjentów, którzy byli leczeni substancjami czynnymi finansowanymi w programie lekowym w ramach innego sposobu finansowania terapii;</w:t>
            </w:r>
          </w:p>
          <w:p w14:paraId="29321C18" w14:textId="7A10989B" w:rsidR="00185508" w:rsidRPr="007C47A9" w:rsidRDefault="00185508" w:rsidP="005B44E0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W przypadku pacjentów, u których przed ukończeniem 18 r.ż. nie przeprowadzono oceny skuteczności po pierwszych 3 miesiącach leczenia, ocena taka przeprowadzana jest w ośrodku dla dorosłych</w:t>
            </w:r>
            <w:r w:rsidR="00181866" w:rsidRPr="007C47A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a brak skuteczności leczenia rozumiany jest jako: redukcja stężenia LDL-C o &lt; </w:t>
            </w:r>
            <w:r w:rsidR="009120A0" w:rsidRPr="007C47A9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% po pierwszych 3 miesiącach leczenia </w:t>
            </w:r>
            <w:r w:rsidR="00181866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a następnie po każdych kolejnych 12 miesiącach leczenia,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potwierdzona w dwóch kolejnych pomiarach stężenia LDL-C (wykonanych w odstępie do maksymalnie 1 miesiąca), w stosunku do wartości wyjściowej określonej jak powyżej.</w:t>
            </w:r>
            <w:bookmarkEnd w:id="1"/>
          </w:p>
          <w:p w14:paraId="0FF808BB" w14:textId="44DB4597" w:rsidR="00F51A5F" w:rsidRPr="007C47A9" w:rsidRDefault="00F51A5F" w:rsidP="007C47A9">
            <w:pPr>
              <w:pStyle w:val="Akapitzlist"/>
              <w:numPr>
                <w:ilvl w:val="3"/>
                <w:numId w:val="30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wystąpienie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objawów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nadwrażliwości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którykolwiek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stosowanych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leków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którąkolwiek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substancję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pomocniczą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leku,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uniemożliwiających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kontynuację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leczenia;</w:t>
            </w:r>
          </w:p>
          <w:p w14:paraId="3973A468" w14:textId="19906064" w:rsidR="00F51A5F" w:rsidRPr="007C47A9" w:rsidRDefault="00D14D85" w:rsidP="007C47A9">
            <w:pPr>
              <w:pStyle w:val="Akapitzlist"/>
              <w:numPr>
                <w:ilvl w:val="3"/>
                <w:numId w:val="30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okres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1A5F" w:rsidRPr="007C47A9">
              <w:rPr>
                <w:rFonts w:ascii="Times New Roman" w:hAnsi="Times New Roman" w:cs="Times New Roman"/>
                <w:sz w:val="20"/>
                <w:szCs w:val="20"/>
              </w:rPr>
              <w:t>ciąż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1A5F" w:rsidRPr="007C47A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1A5F" w:rsidRPr="007C47A9">
              <w:rPr>
                <w:rFonts w:ascii="Times New Roman" w:hAnsi="Times New Roman" w:cs="Times New Roman"/>
                <w:sz w:val="20"/>
                <w:szCs w:val="20"/>
              </w:rPr>
              <w:t>karmieni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1A5F" w:rsidRPr="007C47A9">
              <w:rPr>
                <w:rFonts w:ascii="Times New Roman" w:hAnsi="Times New Roman" w:cs="Times New Roman"/>
                <w:sz w:val="20"/>
                <w:szCs w:val="20"/>
              </w:rPr>
              <w:t>piersią;</w:t>
            </w:r>
          </w:p>
          <w:p w14:paraId="247705A5" w14:textId="65383EAF" w:rsidR="00F51A5F" w:rsidRPr="007C47A9" w:rsidRDefault="00F51A5F" w:rsidP="007C47A9">
            <w:pPr>
              <w:pStyle w:val="Akapitzlist"/>
              <w:numPr>
                <w:ilvl w:val="3"/>
                <w:numId w:val="30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wystąpienie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chorób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stanów,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które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uniemożliwiają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dalsze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prowadzenie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leczenia;</w:t>
            </w:r>
          </w:p>
          <w:p w14:paraId="76395506" w14:textId="57EBDA3E" w:rsidR="00933128" w:rsidRPr="007C47A9" w:rsidRDefault="00933128" w:rsidP="007C47A9">
            <w:pPr>
              <w:pStyle w:val="Akapitzlist"/>
              <w:numPr>
                <w:ilvl w:val="3"/>
                <w:numId w:val="30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wystąpienie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nieakceptowalnej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zagrażającej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życiu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toksyczności,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pomimo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adekwatnego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postępowania;</w:t>
            </w:r>
          </w:p>
          <w:p w14:paraId="7523EBCD" w14:textId="5E8426B3" w:rsidR="004E3DEC" w:rsidRPr="007C47A9" w:rsidRDefault="00F51A5F" w:rsidP="007C47A9">
            <w:pPr>
              <w:pStyle w:val="Akapitzlist"/>
              <w:numPr>
                <w:ilvl w:val="3"/>
                <w:numId w:val="30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współpracy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nieprzestrzeganie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zaleceń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lekarskich,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okresowych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kontrolnych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oceniających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skuteczność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bezpieczeństwo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strony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świadczeniobiorc</w:t>
            </w:r>
            <w:r w:rsidR="00D14D85" w:rsidRPr="007C47A9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4D85" w:rsidRPr="007C47A9">
              <w:rPr>
                <w:rFonts w:ascii="Times New Roman" w:hAnsi="Times New Roman" w:cs="Times New Roman"/>
                <w:sz w:val="20"/>
                <w:szCs w:val="20"/>
              </w:rPr>
              <w:t>jego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opiekun</w:t>
            </w:r>
            <w:r w:rsidR="00D14D85" w:rsidRPr="007C47A9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prawn</w:t>
            </w:r>
            <w:r w:rsidR="00D14D85" w:rsidRPr="007C47A9">
              <w:rPr>
                <w:rFonts w:ascii="Times New Roman" w:hAnsi="Times New Roman" w:cs="Times New Roman"/>
                <w:sz w:val="20"/>
                <w:szCs w:val="20"/>
              </w:rPr>
              <w:t>ego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606E655" w14:textId="689A339E" w:rsidR="000E428C" w:rsidRPr="007C47A9" w:rsidRDefault="000E428C" w:rsidP="00D41E4E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4" w:type="dxa"/>
          </w:tcPr>
          <w:p w14:paraId="7CA86006" w14:textId="7F3DC397" w:rsidR="00C0349D" w:rsidRPr="007C47A9" w:rsidRDefault="00C0349D" w:rsidP="00A57CFD">
            <w:pPr>
              <w:pStyle w:val="Akapitzlist"/>
              <w:numPr>
                <w:ilvl w:val="0"/>
                <w:numId w:val="22"/>
              </w:numPr>
              <w:spacing w:before="12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Dawkowanie</w:t>
            </w:r>
          </w:p>
          <w:p w14:paraId="6278B79F" w14:textId="77777777" w:rsidR="00C0349D" w:rsidRPr="007C47A9" w:rsidRDefault="00C0349D" w:rsidP="00A57CFD">
            <w:pPr>
              <w:pStyle w:val="Akapitzlist"/>
              <w:numPr>
                <w:ilvl w:val="1"/>
                <w:numId w:val="22"/>
              </w:num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7C47A9">
              <w:rPr>
                <w:rFonts w:ascii="Times New Roman" w:hAnsi="Times New Roman" w:cs="Times New Roman"/>
                <w:b/>
                <w:sz w:val="20"/>
                <w:szCs w:val="20"/>
              </w:rPr>
              <w:t>Alirokumab</w:t>
            </w:r>
            <w:proofErr w:type="spellEnd"/>
          </w:p>
          <w:p w14:paraId="62B231F1" w14:textId="33E3ECD3" w:rsidR="00B528C4" w:rsidRPr="007C47A9" w:rsidRDefault="00050CCF" w:rsidP="00B528C4">
            <w:pPr>
              <w:pStyle w:val="Akapitzlist"/>
              <w:numPr>
                <w:ilvl w:val="3"/>
                <w:numId w:val="22"/>
              </w:num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dorośli pacjenci</w:t>
            </w:r>
          </w:p>
          <w:p w14:paraId="7398F765" w14:textId="493F1B31" w:rsidR="00050CCF" w:rsidRPr="007C47A9" w:rsidRDefault="006E5CC0" w:rsidP="007C47A9">
            <w:pPr>
              <w:spacing w:line="276" w:lineRule="auto"/>
              <w:ind w:left="22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150 mg </w:t>
            </w:r>
            <w:proofErr w:type="spellStart"/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alirokumabu</w:t>
            </w:r>
            <w:proofErr w:type="spellEnd"/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podawane co 2 tygodnie lub 300 mg </w:t>
            </w:r>
            <w:proofErr w:type="spellStart"/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alirokumabu</w:t>
            </w:r>
            <w:proofErr w:type="spellEnd"/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podawane co 4 tygodnie (miesięcznie),</w:t>
            </w:r>
          </w:p>
          <w:p w14:paraId="53092C66" w14:textId="27F07EE3" w:rsidR="00050CCF" w:rsidRPr="007C47A9" w:rsidRDefault="00050CCF" w:rsidP="00B528C4">
            <w:pPr>
              <w:pStyle w:val="Akapitzlist"/>
              <w:numPr>
                <w:ilvl w:val="3"/>
                <w:numId w:val="22"/>
              </w:num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pediatryczni pacjenci</w:t>
            </w:r>
          </w:p>
          <w:p w14:paraId="1F2E1039" w14:textId="3ABA2830" w:rsidR="006E5CC0" w:rsidRPr="007C47A9" w:rsidRDefault="006E5CC0" w:rsidP="006E5CC0">
            <w:pPr>
              <w:pStyle w:val="Akapitzlist"/>
              <w:numPr>
                <w:ilvl w:val="4"/>
                <w:numId w:val="22"/>
              </w:num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masa ciała poniżej 50 kg</w:t>
            </w:r>
          </w:p>
          <w:p w14:paraId="44917BA8" w14:textId="45038717" w:rsidR="00D73C18" w:rsidRPr="007C47A9" w:rsidRDefault="00D73C18" w:rsidP="007C47A9">
            <w:pPr>
              <w:spacing w:line="276" w:lineRule="auto"/>
              <w:ind w:left="45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150 mg </w:t>
            </w:r>
            <w:proofErr w:type="spellStart"/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alirokumabu</w:t>
            </w:r>
            <w:proofErr w:type="spellEnd"/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podawane co 4 tygodnie</w:t>
            </w:r>
          </w:p>
          <w:p w14:paraId="1F4C5F51" w14:textId="0218CEEC" w:rsidR="00D73C18" w:rsidRPr="007C47A9" w:rsidRDefault="006E5CC0" w:rsidP="007C47A9">
            <w:pPr>
              <w:pStyle w:val="Akapitzlist"/>
              <w:numPr>
                <w:ilvl w:val="4"/>
                <w:numId w:val="22"/>
              </w:num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masa ciała 50 kg lub więcej</w:t>
            </w:r>
          </w:p>
          <w:p w14:paraId="0A74921C" w14:textId="01E25640" w:rsidR="00050CCF" w:rsidRPr="007C47A9" w:rsidRDefault="00C0349D" w:rsidP="007C47A9">
            <w:pPr>
              <w:spacing w:line="276" w:lineRule="auto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alirokumabu</w:t>
            </w:r>
            <w:proofErr w:type="spellEnd"/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podawane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tygodnie</w:t>
            </w:r>
            <w:r w:rsidR="004616A1" w:rsidRPr="007C47A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C002F56" w14:textId="77777777" w:rsidR="001105A8" w:rsidRPr="007C47A9" w:rsidRDefault="001105A8" w:rsidP="00D41E4E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12ED19" w14:textId="77777777" w:rsidR="00C0349D" w:rsidRPr="007C47A9" w:rsidRDefault="00C0349D" w:rsidP="00A57CFD">
            <w:pPr>
              <w:pStyle w:val="Akapitzlist"/>
              <w:numPr>
                <w:ilvl w:val="1"/>
                <w:numId w:val="22"/>
              </w:num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7C47A9">
              <w:rPr>
                <w:rFonts w:ascii="Times New Roman" w:hAnsi="Times New Roman" w:cs="Times New Roman"/>
                <w:b/>
                <w:sz w:val="20"/>
                <w:szCs w:val="20"/>
              </w:rPr>
              <w:t>Ewolokumab</w:t>
            </w:r>
            <w:proofErr w:type="spellEnd"/>
          </w:p>
          <w:p w14:paraId="1AA8DFF7" w14:textId="6DF33C3E" w:rsidR="00751641" w:rsidRPr="007C47A9" w:rsidRDefault="0046175B" w:rsidP="00A57CFD">
            <w:pPr>
              <w:pStyle w:val="Akapitzlist"/>
              <w:numPr>
                <w:ilvl w:val="3"/>
                <w:numId w:val="22"/>
              </w:num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h</w:t>
            </w:r>
            <w:r w:rsidR="00C955E7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eterozygotyczna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955E7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postać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955E7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hipercholesterolemii rodzinnej:</w:t>
            </w:r>
          </w:p>
          <w:p w14:paraId="36D2976B" w14:textId="7B4D7D1F" w:rsidR="00C0349D" w:rsidRPr="007C47A9" w:rsidRDefault="00C0349D" w:rsidP="00A57CFD">
            <w:pPr>
              <w:pStyle w:val="Akapitzlist"/>
              <w:numPr>
                <w:ilvl w:val="4"/>
                <w:numId w:val="22"/>
              </w:num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140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mg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ewolokumabu</w:t>
            </w:r>
            <w:proofErr w:type="spellEnd"/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podawane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co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tygodnie</w:t>
            </w:r>
            <w:r w:rsidR="00751641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</w:p>
          <w:p w14:paraId="54349EDC" w14:textId="0157991E" w:rsidR="00751641" w:rsidRPr="007C47A9" w:rsidRDefault="00C955E7" w:rsidP="00A57CFD">
            <w:pPr>
              <w:pStyle w:val="Akapitzlist"/>
              <w:numPr>
                <w:ilvl w:val="3"/>
                <w:numId w:val="22"/>
              </w:num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bardzo wysokie ryzyko chorób układu sercowo-naczyniowego:</w:t>
            </w:r>
          </w:p>
          <w:p w14:paraId="6FEEC17A" w14:textId="2EF74B41" w:rsidR="00C955E7" w:rsidRPr="007C47A9" w:rsidRDefault="00C955E7" w:rsidP="00A57CFD">
            <w:pPr>
              <w:pStyle w:val="Akapitzlist"/>
              <w:numPr>
                <w:ilvl w:val="4"/>
                <w:numId w:val="22"/>
              </w:num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140 mg </w:t>
            </w:r>
            <w:proofErr w:type="spellStart"/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ewolokumabu</w:t>
            </w:r>
            <w:proofErr w:type="spellEnd"/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podawane co 2 tygodnie,</w:t>
            </w:r>
          </w:p>
          <w:p w14:paraId="6E545D9E" w14:textId="64948757" w:rsidR="00C955E7" w:rsidRPr="007C47A9" w:rsidRDefault="00C955E7" w:rsidP="00A57CFD">
            <w:pPr>
              <w:pStyle w:val="Akapitzlist"/>
              <w:numPr>
                <w:ilvl w:val="3"/>
                <w:numId w:val="22"/>
              </w:num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homozygotyczna postać hipercholesterolemii rodzinnej:</w:t>
            </w:r>
          </w:p>
          <w:p w14:paraId="10A5DF26" w14:textId="4EEB4B41" w:rsidR="00C955E7" w:rsidRPr="007C47A9" w:rsidRDefault="00C955E7" w:rsidP="00A57CFD">
            <w:pPr>
              <w:pStyle w:val="Akapitzlist"/>
              <w:numPr>
                <w:ilvl w:val="4"/>
                <w:numId w:val="22"/>
              </w:numPr>
              <w:spacing w:line="276" w:lineRule="auto"/>
              <w:rPr>
                <w:rFonts w:ascii="Times New Roman" w:hAnsi="Times New Roman"/>
                <w:b/>
                <w:sz w:val="20"/>
              </w:rPr>
            </w:pP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zalecana dawka początkowa to 420 mg raz w miesiącu. Po 12 tygodniach leczenia, częstość dawkowania może być stopniowo zwiększana do 420 mg raz na 2 tygodnie, jeśli nie została uzyskana odpowiedź istotna klinicznie. U pacjentów, u których wykonywana jest afereza, można rozpocząć leczenie dawką 420 mg podawaną raz na dwa tygodnie w taki sposób, aby schemat dawkowania dopasować do harmonogramu zabiegów aferezy.</w:t>
            </w:r>
          </w:p>
          <w:p w14:paraId="5FDA8627" w14:textId="77777777" w:rsidR="001105A8" w:rsidRPr="007C47A9" w:rsidRDefault="001105A8" w:rsidP="00D41E4E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4807C7E6" w14:textId="77777777" w:rsidR="00C0349D" w:rsidRPr="007C47A9" w:rsidRDefault="00C0349D" w:rsidP="00A57CFD">
            <w:pPr>
              <w:pStyle w:val="Akapitzlist"/>
              <w:numPr>
                <w:ilvl w:val="1"/>
                <w:numId w:val="22"/>
              </w:num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7C47A9">
              <w:rPr>
                <w:rFonts w:ascii="Times New Roman" w:hAnsi="Times New Roman" w:cs="Times New Roman"/>
                <w:b/>
                <w:sz w:val="20"/>
                <w:szCs w:val="20"/>
              </w:rPr>
              <w:t>Inklisiran</w:t>
            </w:r>
            <w:proofErr w:type="spellEnd"/>
          </w:p>
          <w:p w14:paraId="6D8CAF33" w14:textId="1B91405A" w:rsidR="00C0349D" w:rsidRPr="007C47A9" w:rsidRDefault="00C0349D" w:rsidP="00D41E4E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284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inklisiranu</w:t>
            </w:r>
            <w:proofErr w:type="spellEnd"/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pojedynczym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wstrzyknięciu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podskórnym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podawanym: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raz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pierwszy,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ponownie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miesiącach,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miesięcy.</w:t>
            </w:r>
          </w:p>
          <w:p w14:paraId="492A1FE7" w14:textId="78FF0E46" w:rsidR="00C0349D" w:rsidRPr="007C47A9" w:rsidRDefault="00C0349D" w:rsidP="00D41E4E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Dawki</w:t>
            </w:r>
            <w:r w:rsidR="000C30A8" w:rsidRPr="007C47A9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7C47A9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pominięte:</w:t>
            </w:r>
          </w:p>
          <w:p w14:paraId="7016BBCE" w14:textId="4D64E642" w:rsidR="00C0349D" w:rsidRPr="007C47A9" w:rsidRDefault="00C0349D" w:rsidP="00D41E4E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Jeśli</w:t>
            </w:r>
            <w:r w:rsidR="000C30A8" w:rsidRPr="007C47A9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7C47A9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doszło</w:t>
            </w:r>
            <w:r w:rsidR="000C30A8" w:rsidRPr="007C47A9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7C47A9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do</w:t>
            </w:r>
            <w:r w:rsidR="000C30A8" w:rsidRPr="007C47A9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7C47A9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pominięcia</w:t>
            </w:r>
            <w:r w:rsidR="000C30A8" w:rsidRPr="007C47A9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7C47A9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zaplanowanej</w:t>
            </w:r>
            <w:r w:rsidR="000C30A8" w:rsidRPr="007C47A9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7C47A9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dawki</w:t>
            </w:r>
            <w:r w:rsidR="000C30A8" w:rsidRPr="007C47A9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7C47A9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w</w:t>
            </w:r>
            <w:r w:rsidR="000C30A8" w:rsidRPr="007C47A9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7C47A9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okresie</w:t>
            </w:r>
            <w:r w:rsidR="000C30A8" w:rsidRPr="007C47A9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7C47A9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krótszym</w:t>
            </w:r>
            <w:r w:rsidR="000C30A8" w:rsidRPr="007C47A9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7C47A9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niż</w:t>
            </w:r>
            <w:r w:rsidR="000C30A8" w:rsidRPr="007C47A9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7C47A9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3</w:t>
            </w:r>
            <w:r w:rsidR="000C30A8" w:rsidRPr="007C47A9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7C47A9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miesiące,</w:t>
            </w:r>
            <w:r w:rsidR="000C30A8" w:rsidRPr="007C47A9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7C47A9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należy</w:t>
            </w:r>
            <w:r w:rsidR="000C30A8" w:rsidRPr="007C47A9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7C47A9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podać</w:t>
            </w:r>
            <w:r w:rsidR="000C30A8" w:rsidRPr="007C47A9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proofErr w:type="spellStart"/>
            <w:r w:rsidRPr="007C47A9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inklisiran</w:t>
            </w:r>
            <w:proofErr w:type="spellEnd"/>
            <w:r w:rsidR="000C30A8" w:rsidRPr="007C47A9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7C47A9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i</w:t>
            </w:r>
            <w:r w:rsidR="000C30A8" w:rsidRPr="007C47A9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7C47A9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kontynuować</w:t>
            </w:r>
            <w:r w:rsidR="000C30A8" w:rsidRPr="007C47A9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7C47A9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podawanie</w:t>
            </w:r>
            <w:r w:rsidR="000C30A8" w:rsidRPr="007C47A9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7C47A9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leku</w:t>
            </w:r>
            <w:r w:rsidR="000C30A8" w:rsidRPr="007C47A9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7C47A9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zgodnie</w:t>
            </w:r>
            <w:r w:rsidR="000C30A8" w:rsidRPr="007C47A9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7C47A9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z</w:t>
            </w:r>
            <w:r w:rsidR="000C30A8" w:rsidRPr="007C47A9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7C47A9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pierwotnym</w:t>
            </w:r>
            <w:r w:rsidR="000C30A8" w:rsidRPr="007C47A9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7C47A9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harmonogramem.</w:t>
            </w:r>
          </w:p>
          <w:p w14:paraId="0611AEC6" w14:textId="7FDF5712" w:rsidR="00C0349D" w:rsidRPr="007C47A9" w:rsidRDefault="00C0349D" w:rsidP="00D41E4E">
            <w:pP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</w:pPr>
            <w:r w:rsidRPr="007C47A9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Jeśli</w:t>
            </w:r>
            <w:r w:rsidR="000C30A8" w:rsidRPr="007C47A9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7C47A9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doszło</w:t>
            </w:r>
            <w:r w:rsidR="000C30A8" w:rsidRPr="007C47A9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7C47A9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do</w:t>
            </w:r>
            <w:r w:rsidR="000C30A8" w:rsidRPr="007C47A9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7C47A9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pominięcia</w:t>
            </w:r>
            <w:r w:rsidR="000C30A8" w:rsidRPr="007C47A9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7C47A9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zaplanowanej</w:t>
            </w:r>
            <w:r w:rsidR="000C30A8" w:rsidRPr="007C47A9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7C47A9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dawki</w:t>
            </w:r>
            <w:r w:rsidR="000C30A8" w:rsidRPr="007C47A9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7C47A9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w</w:t>
            </w:r>
            <w:r w:rsidR="000C30A8" w:rsidRPr="007C47A9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7C47A9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okresie</w:t>
            </w:r>
            <w:r w:rsidR="000C30A8" w:rsidRPr="007C47A9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7C47A9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przekraczającym</w:t>
            </w:r>
            <w:r w:rsidR="000C30A8" w:rsidRPr="007C47A9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7C47A9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3</w:t>
            </w:r>
            <w:r w:rsidR="000C30A8" w:rsidRPr="007C47A9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7C47A9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miesiące,</w:t>
            </w:r>
            <w:r w:rsidR="000C30A8" w:rsidRPr="007C47A9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7C47A9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należy</w:t>
            </w:r>
            <w:r w:rsidR="000C30A8" w:rsidRPr="007C47A9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7C47A9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rozpocząć</w:t>
            </w:r>
            <w:r w:rsidR="000C30A8" w:rsidRPr="007C47A9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7C47A9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nowy</w:t>
            </w:r>
            <w:r w:rsidR="000C30A8" w:rsidRPr="007C47A9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7C47A9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schemat</w:t>
            </w:r>
            <w:r w:rsidR="000C30A8" w:rsidRPr="007C47A9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7C47A9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dawkowania</w:t>
            </w:r>
            <w:r w:rsidR="000C30A8" w:rsidRPr="007C47A9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7C47A9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–</w:t>
            </w:r>
            <w:r w:rsidR="000C30A8" w:rsidRPr="007C47A9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proofErr w:type="spellStart"/>
            <w:r w:rsidRPr="007C47A9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inklisiran</w:t>
            </w:r>
            <w:proofErr w:type="spellEnd"/>
            <w:r w:rsidR="000C30A8" w:rsidRPr="007C47A9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7C47A9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lastRenderedPageBreak/>
              <w:t>należy</w:t>
            </w:r>
            <w:r w:rsidR="000C30A8" w:rsidRPr="007C47A9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7C47A9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podać</w:t>
            </w:r>
            <w:r w:rsidR="000C30A8" w:rsidRPr="007C47A9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7C47A9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po</w:t>
            </w:r>
            <w:r w:rsidR="000C30A8" w:rsidRPr="007C47A9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7C47A9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raz</w:t>
            </w:r>
            <w:r w:rsidR="000C30A8" w:rsidRPr="007C47A9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7C47A9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pierwszy,</w:t>
            </w:r>
            <w:r w:rsidR="000C30A8" w:rsidRPr="007C47A9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7C47A9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ponownie</w:t>
            </w:r>
            <w:r w:rsidR="000C30A8" w:rsidRPr="007C47A9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7C47A9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po</w:t>
            </w:r>
            <w:r w:rsidR="000C30A8" w:rsidRPr="007C47A9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7C47A9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3</w:t>
            </w:r>
            <w:r w:rsidR="000C30A8" w:rsidRPr="007C47A9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7C47A9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miesiącach,</w:t>
            </w:r>
            <w:r w:rsidR="000C30A8" w:rsidRPr="007C47A9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7C47A9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a</w:t>
            </w:r>
            <w:r w:rsidR="000C30A8" w:rsidRPr="007C47A9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7C47A9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następnie</w:t>
            </w:r>
            <w:r w:rsidR="000C30A8" w:rsidRPr="007C47A9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7C47A9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co</w:t>
            </w:r>
            <w:r w:rsidR="000C30A8" w:rsidRPr="007C47A9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7C47A9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6</w:t>
            </w:r>
            <w:r w:rsidR="000C30A8" w:rsidRPr="007C47A9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 xml:space="preserve"> </w:t>
            </w:r>
            <w:r w:rsidRPr="007C47A9"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  <w:t>miesięcy.</w:t>
            </w:r>
          </w:p>
          <w:p w14:paraId="49E47177" w14:textId="77777777" w:rsidR="001105A8" w:rsidRPr="007C47A9" w:rsidRDefault="001105A8" w:rsidP="00D41E4E">
            <w:pPr>
              <w:spacing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u w:color="000000"/>
              </w:rPr>
            </w:pPr>
          </w:p>
          <w:p w14:paraId="3634BBEB" w14:textId="77777777" w:rsidR="008D2DF1" w:rsidRPr="007C47A9" w:rsidRDefault="00C0349D" w:rsidP="00A57CFD">
            <w:pPr>
              <w:pStyle w:val="Akapitzlist"/>
              <w:numPr>
                <w:ilvl w:val="1"/>
                <w:numId w:val="22"/>
              </w:num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7C47A9">
              <w:rPr>
                <w:rFonts w:ascii="Times New Roman" w:hAnsi="Times New Roman" w:cs="Times New Roman"/>
                <w:b/>
                <w:sz w:val="20"/>
                <w:szCs w:val="20"/>
              </w:rPr>
              <w:t>Lomitapid</w:t>
            </w:r>
            <w:proofErr w:type="spellEnd"/>
          </w:p>
          <w:p w14:paraId="5BD8F25A" w14:textId="70FB1386" w:rsidR="006326F7" w:rsidRPr="007C47A9" w:rsidRDefault="006326F7" w:rsidP="00D41E4E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Zalecana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dawka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początkowa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wynosi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mg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raz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na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dobę.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Po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tygodniach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dawkę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można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zwiększyć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do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mg,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zależnie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od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akceptowalnego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poziomu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bezpieczeństwa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i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tolerancji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leku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przez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pacjenta,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a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następnie,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odstępach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minimum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tygodni,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do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mg,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40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mg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i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do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maksymalnej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zalecanej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dawki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60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mg.</w:t>
            </w:r>
          </w:p>
          <w:p w14:paraId="0EA49E37" w14:textId="77777777" w:rsidR="000E428C" w:rsidRPr="007C47A9" w:rsidRDefault="000E428C" w:rsidP="00D41E4E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0FBC520E" w14:textId="1CC170F5" w:rsidR="006326F7" w:rsidRPr="007C47A9" w:rsidRDefault="006326F7" w:rsidP="00A57CFD">
            <w:pPr>
              <w:pStyle w:val="Akapitzlist"/>
              <w:numPr>
                <w:ilvl w:val="0"/>
                <w:numId w:val="22"/>
              </w:num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b/>
                <w:sz w:val="20"/>
                <w:szCs w:val="20"/>
              </w:rPr>
              <w:t>Modyfikacja</w:t>
            </w:r>
            <w:r w:rsidR="000C30A8" w:rsidRPr="007C47A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/>
                <w:sz w:val="20"/>
                <w:szCs w:val="20"/>
              </w:rPr>
              <w:t>dawkowania</w:t>
            </w:r>
          </w:p>
          <w:p w14:paraId="1B0E20DD" w14:textId="1806509E" w:rsidR="006326F7" w:rsidRPr="007C47A9" w:rsidRDefault="006326F7" w:rsidP="00D41E4E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Szczegóły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dotyczące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sposobu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podawania,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ewentualnego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czasowego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wstrzymania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leczenia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oraz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ewentualnego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zmniejszania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dawki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leku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zgodnie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aktualną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Charakterystyką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Produktu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Leczniczego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odpowiedniego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leku.</w:t>
            </w:r>
          </w:p>
        </w:tc>
        <w:tc>
          <w:tcPr>
            <w:tcW w:w="4295" w:type="dxa"/>
          </w:tcPr>
          <w:p w14:paraId="080F76B6" w14:textId="650473ED" w:rsidR="00C058A9" w:rsidRPr="007C47A9" w:rsidRDefault="00AA134E" w:rsidP="00D41E4E">
            <w:pPr>
              <w:pStyle w:val="Akapitzlist"/>
              <w:numPr>
                <w:ilvl w:val="0"/>
                <w:numId w:val="21"/>
              </w:numPr>
              <w:spacing w:before="12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B</w:t>
            </w:r>
            <w:r w:rsidR="003644A9" w:rsidRPr="007C47A9">
              <w:rPr>
                <w:rFonts w:ascii="Times New Roman" w:hAnsi="Times New Roman" w:cs="Times New Roman"/>
                <w:b/>
                <w:sz w:val="20"/>
                <w:szCs w:val="20"/>
              </w:rPr>
              <w:t>ada</w:t>
            </w:r>
            <w:r w:rsidRPr="007C47A9">
              <w:rPr>
                <w:rFonts w:ascii="Times New Roman" w:hAnsi="Times New Roman" w:cs="Times New Roman"/>
                <w:b/>
                <w:sz w:val="20"/>
                <w:szCs w:val="20"/>
              </w:rPr>
              <w:t>nia</w:t>
            </w:r>
            <w:r w:rsidR="000C30A8" w:rsidRPr="007C47A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644A9" w:rsidRPr="007C47A9">
              <w:rPr>
                <w:rFonts w:ascii="Times New Roman" w:hAnsi="Times New Roman" w:cs="Times New Roman"/>
                <w:b/>
                <w:sz w:val="20"/>
                <w:szCs w:val="20"/>
              </w:rPr>
              <w:t>przy</w:t>
            </w:r>
            <w:r w:rsidR="000C30A8" w:rsidRPr="007C47A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644A9" w:rsidRPr="007C47A9">
              <w:rPr>
                <w:rFonts w:ascii="Times New Roman" w:hAnsi="Times New Roman" w:cs="Times New Roman"/>
                <w:b/>
                <w:sz w:val="20"/>
                <w:szCs w:val="20"/>
              </w:rPr>
              <w:t>kwalifikacji</w:t>
            </w:r>
            <w:r w:rsidR="000C30A8" w:rsidRPr="007C47A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C76AB1" w:rsidRPr="007C47A9">
              <w:rPr>
                <w:rFonts w:ascii="Times New Roman" w:hAnsi="Times New Roman" w:cs="Times New Roman"/>
                <w:b/>
                <w:sz w:val="20"/>
                <w:szCs w:val="20"/>
              </w:rPr>
              <w:t>do</w:t>
            </w:r>
            <w:r w:rsidR="000C30A8" w:rsidRPr="007C47A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C76AB1" w:rsidRPr="007C47A9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</w:p>
          <w:p w14:paraId="3ED8D3D6" w14:textId="144B6AF1" w:rsidR="00C07A27" w:rsidRPr="007C47A9" w:rsidRDefault="004F1297" w:rsidP="00D41E4E">
            <w:pPr>
              <w:pStyle w:val="Akapitzlist"/>
              <w:numPr>
                <w:ilvl w:val="3"/>
                <w:numId w:val="21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" w:name="_Hlk136004269"/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07A27" w:rsidRPr="007C47A9">
              <w:rPr>
                <w:rFonts w:ascii="Times New Roman" w:hAnsi="Times New Roman" w:cs="Times New Roman"/>
                <w:sz w:val="20"/>
                <w:szCs w:val="20"/>
              </w:rPr>
              <w:t>lipidogram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proofErr w:type="spellEnd"/>
            <w:r w:rsidR="00C07A27" w:rsidRPr="007C47A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FFBD7AB" w14:textId="252654F2" w:rsidR="00C07A27" w:rsidRPr="007C47A9" w:rsidRDefault="0099311E" w:rsidP="00D41E4E">
            <w:pPr>
              <w:pStyle w:val="Akapitzlist"/>
              <w:numPr>
                <w:ilvl w:val="3"/>
                <w:numId w:val="21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17F54" w:rsidRPr="007C47A9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7A27" w:rsidRPr="007C47A9">
              <w:rPr>
                <w:rFonts w:ascii="Times New Roman" w:hAnsi="Times New Roman" w:cs="Times New Roman"/>
                <w:sz w:val="20"/>
                <w:szCs w:val="20"/>
              </w:rPr>
              <w:t>aminotransferaz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7A27" w:rsidRPr="007C47A9">
              <w:rPr>
                <w:rFonts w:ascii="Times New Roman" w:hAnsi="Times New Roman" w:cs="Times New Roman"/>
                <w:sz w:val="20"/>
                <w:szCs w:val="20"/>
              </w:rPr>
              <w:t>alaninow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ej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7A27" w:rsidRPr="007C47A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="00C07A27" w:rsidRPr="007C47A9">
              <w:rPr>
                <w:rFonts w:ascii="Times New Roman" w:hAnsi="Times New Roman" w:cs="Times New Roman"/>
                <w:sz w:val="20"/>
                <w:szCs w:val="20"/>
              </w:rPr>
              <w:t>AlAT</w:t>
            </w:r>
            <w:proofErr w:type="spellEnd"/>
            <w:r w:rsidR="00C07A27" w:rsidRPr="007C47A9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14:paraId="087CF4F2" w14:textId="10ED38BD" w:rsidR="00CF2D49" w:rsidRPr="007C47A9" w:rsidRDefault="00CF2D49" w:rsidP="00D41E4E">
            <w:pPr>
              <w:pStyle w:val="Akapitzlist"/>
              <w:numPr>
                <w:ilvl w:val="3"/>
                <w:numId w:val="21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test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ciążowy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(u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kobiet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wieku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rozrodczym);</w:t>
            </w:r>
          </w:p>
          <w:p w14:paraId="763077BA" w14:textId="7AFBF552" w:rsidR="003B23D1" w:rsidRPr="007C47A9" w:rsidRDefault="003B23D1" w:rsidP="00D41E4E">
            <w:pPr>
              <w:pStyle w:val="Akapitzlist"/>
              <w:numPr>
                <w:ilvl w:val="3"/>
                <w:numId w:val="21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dodatkowo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alirokumabem</w:t>
            </w:r>
            <w:proofErr w:type="spellEnd"/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ewolokumabem</w:t>
            </w:r>
            <w:proofErr w:type="spellEnd"/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inklisiranem</w:t>
            </w:r>
            <w:proofErr w:type="spellEnd"/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3F4CDA6D" w14:textId="429ECB99" w:rsidR="003B23D1" w:rsidRPr="007C47A9" w:rsidRDefault="003B23D1" w:rsidP="00D41E4E">
            <w:pPr>
              <w:pStyle w:val="Akapitzlist"/>
              <w:numPr>
                <w:ilvl w:val="4"/>
                <w:numId w:val="21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oznacz</w:t>
            </w:r>
            <w:r w:rsidR="000E428C" w:rsidRPr="007C47A9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kreatyniny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eGFR</w:t>
            </w:r>
            <w:proofErr w:type="spellEnd"/>
            <w:r w:rsidR="000E428C" w:rsidRPr="007C47A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5D916FD" w14:textId="60F5776F" w:rsidR="003B23D1" w:rsidRPr="007C47A9" w:rsidRDefault="003B23D1" w:rsidP="00D41E4E">
            <w:pPr>
              <w:pStyle w:val="Akapitzlist"/>
              <w:numPr>
                <w:ilvl w:val="4"/>
                <w:numId w:val="21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oznacz</w:t>
            </w:r>
            <w:r w:rsidR="000E428C" w:rsidRPr="007C47A9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kinazy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kreatynowej</w:t>
            </w:r>
            <w:proofErr w:type="spellEnd"/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(CK)</w:t>
            </w:r>
            <w:r w:rsidR="000E428C" w:rsidRPr="007C47A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E0117C0" w14:textId="6706C968" w:rsidR="00CF2D49" w:rsidRPr="007C47A9" w:rsidRDefault="00101310" w:rsidP="00D41E4E">
            <w:pPr>
              <w:pStyle w:val="Akapitzlist"/>
              <w:numPr>
                <w:ilvl w:val="3"/>
                <w:numId w:val="21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9311E" w:rsidRPr="007C47A9">
              <w:rPr>
                <w:rFonts w:ascii="Times New Roman" w:hAnsi="Times New Roman" w:cs="Times New Roman"/>
                <w:sz w:val="20"/>
                <w:szCs w:val="20"/>
              </w:rPr>
              <w:t>odatkowo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311E" w:rsidRPr="007C47A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311E" w:rsidRPr="007C47A9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311E" w:rsidRPr="007C47A9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9311E" w:rsidRPr="007C47A9">
              <w:rPr>
                <w:rFonts w:ascii="Times New Roman" w:hAnsi="Times New Roman" w:cs="Times New Roman"/>
                <w:sz w:val="20"/>
                <w:szCs w:val="20"/>
              </w:rPr>
              <w:t>lomitapidem</w:t>
            </w:r>
            <w:proofErr w:type="spellEnd"/>
            <w:r w:rsidR="0099311E" w:rsidRPr="007C47A9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031D2E75" w14:textId="43F3C8C5" w:rsidR="0099311E" w:rsidRPr="007C47A9" w:rsidRDefault="0099311E" w:rsidP="00D41E4E">
            <w:pPr>
              <w:pStyle w:val="Akapitzlist"/>
              <w:numPr>
                <w:ilvl w:val="4"/>
                <w:numId w:val="21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wynik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genetycznego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potwierdzającego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występowanie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HoFH</w:t>
            </w:r>
            <w:proofErr w:type="spellEnd"/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wywiadzie</w:t>
            </w:r>
            <w:r w:rsidR="000E428C" w:rsidRPr="007C47A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B66FD91" w14:textId="53629328" w:rsidR="0099311E" w:rsidRPr="007C47A9" w:rsidRDefault="0099311E" w:rsidP="00D41E4E">
            <w:pPr>
              <w:pStyle w:val="Akapitzlist"/>
              <w:numPr>
                <w:ilvl w:val="4"/>
                <w:numId w:val="21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17F54" w:rsidRPr="007C47A9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aminotransferazy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asparaginowej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AspAT</w:t>
            </w:r>
            <w:proofErr w:type="spellEnd"/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fosfatazy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alkalicznej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(ALP)</w:t>
            </w:r>
            <w:r w:rsidR="000E428C" w:rsidRPr="007C47A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D0C579A" w14:textId="07B43F13" w:rsidR="0099311E" w:rsidRPr="007C47A9" w:rsidRDefault="00F17F54" w:rsidP="00D41E4E">
            <w:pPr>
              <w:pStyle w:val="Akapitzlist"/>
              <w:numPr>
                <w:ilvl w:val="4"/>
                <w:numId w:val="21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bilirubiny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całkowitej</w:t>
            </w:r>
            <w:r w:rsidR="000E428C" w:rsidRPr="007C47A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F6EB05D" w14:textId="28E471B4" w:rsidR="00F17F54" w:rsidRPr="007C47A9" w:rsidRDefault="00F17F54" w:rsidP="00D41E4E">
            <w:pPr>
              <w:pStyle w:val="Akapitzlist"/>
              <w:numPr>
                <w:ilvl w:val="4"/>
                <w:numId w:val="21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oznaczenie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albumin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0E428C" w:rsidRPr="007C47A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547F0B6" w14:textId="5EEAC9E6" w:rsidR="0099311E" w:rsidRPr="007C47A9" w:rsidRDefault="00F17F54" w:rsidP="00D41E4E">
            <w:pPr>
              <w:pStyle w:val="Akapitzlist"/>
              <w:numPr>
                <w:ilvl w:val="4"/>
                <w:numId w:val="21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oznaczanie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transpeptydazy</w:t>
            </w:r>
            <w:proofErr w:type="spellEnd"/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gamma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glutamylowej</w:t>
            </w:r>
            <w:proofErr w:type="spellEnd"/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(GGTP)</w:t>
            </w:r>
            <w:r w:rsidR="000E428C" w:rsidRPr="007C47A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B90EE42" w14:textId="4F486A1E" w:rsidR="0099311E" w:rsidRPr="007C47A9" w:rsidRDefault="0099311E" w:rsidP="00D41E4E">
            <w:pPr>
              <w:pStyle w:val="Akapitzlist"/>
              <w:numPr>
                <w:ilvl w:val="4"/>
                <w:numId w:val="21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przesiewowe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celu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wykrycia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stłuszczeniowego</w:t>
            </w:r>
            <w:proofErr w:type="spellEnd"/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zapalenia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zwłóknienia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wątroby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Charakterystyką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Leczniczego</w:t>
            </w:r>
            <w:r w:rsidR="00926A15" w:rsidRPr="007C47A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E35A1E5" w14:textId="7B429EEB" w:rsidR="00926A15" w:rsidRPr="007C47A9" w:rsidRDefault="00926A15" w:rsidP="00926A15">
            <w:pPr>
              <w:pStyle w:val="Akapitzlist"/>
              <w:numPr>
                <w:ilvl w:val="3"/>
                <w:numId w:val="21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dodatkowo w przypadku terapii </w:t>
            </w:r>
            <w:proofErr w:type="spellStart"/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ewolokumabem</w:t>
            </w:r>
            <w:proofErr w:type="spellEnd"/>
            <w:r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pacjentów </w:t>
            </w:r>
            <w:r w:rsidR="005B7E77" w:rsidRPr="007C47A9">
              <w:rPr>
                <w:rFonts w:ascii="Times New Roman" w:hAnsi="Times New Roman" w:cs="Times New Roman"/>
                <w:sz w:val="20"/>
                <w:szCs w:val="20"/>
              </w:rPr>
              <w:t>z homozygotyczną hipercholesterolemią rodzinną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5DF857D3" w14:textId="35C80719" w:rsidR="00926A15" w:rsidRPr="007C47A9" w:rsidRDefault="00926A15" w:rsidP="00926A15">
            <w:pPr>
              <w:pStyle w:val="Akapitzlist"/>
              <w:numPr>
                <w:ilvl w:val="4"/>
                <w:numId w:val="21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wynik badania genetycznego potwierdzającego występowanie </w:t>
            </w:r>
            <w:proofErr w:type="spellStart"/>
            <w:r w:rsidR="0074365C" w:rsidRPr="007C47A9">
              <w:rPr>
                <w:rFonts w:ascii="Times New Roman" w:hAnsi="Times New Roman" w:cs="Times New Roman"/>
                <w:sz w:val="20"/>
                <w:szCs w:val="20"/>
              </w:rPr>
              <w:t>Ho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FH</w:t>
            </w:r>
            <w:proofErr w:type="spellEnd"/>
            <w:r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w wywiadzie.</w:t>
            </w:r>
          </w:p>
          <w:bookmarkEnd w:id="2"/>
          <w:p w14:paraId="2B1ABA5C" w14:textId="77777777" w:rsidR="00C058A9" w:rsidRPr="007C47A9" w:rsidRDefault="00C058A9" w:rsidP="00D41E4E">
            <w:pPr>
              <w:pStyle w:val="Akapitzlist"/>
              <w:spacing w:line="276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4FF6DD" w14:textId="48755ADC" w:rsidR="00C07A27" w:rsidRPr="007C47A9" w:rsidRDefault="00C058A9" w:rsidP="00D41E4E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b/>
                <w:sz w:val="20"/>
                <w:szCs w:val="20"/>
              </w:rPr>
              <w:t>Monitorowanie</w:t>
            </w:r>
            <w:r w:rsidR="000C30A8" w:rsidRPr="007C47A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7A2EA6" w:rsidRPr="007C47A9">
              <w:rPr>
                <w:rFonts w:ascii="Times New Roman" w:hAnsi="Times New Roman" w:cs="Times New Roman"/>
                <w:b/>
                <w:sz w:val="20"/>
                <w:szCs w:val="20"/>
              </w:rPr>
              <w:t>bezpieczeństwa</w:t>
            </w:r>
            <w:r w:rsidR="000C30A8" w:rsidRPr="007C47A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</w:p>
          <w:p w14:paraId="18918D9D" w14:textId="03F454DF" w:rsidR="00C07A27" w:rsidRPr="007C47A9" w:rsidRDefault="004E3DEC" w:rsidP="00D41E4E">
            <w:pPr>
              <w:pStyle w:val="Akapitzlist"/>
              <w:numPr>
                <w:ilvl w:val="3"/>
                <w:numId w:val="21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C07A27" w:rsidRPr="007C47A9">
              <w:rPr>
                <w:rFonts w:ascii="Times New Roman" w:hAnsi="Times New Roman" w:cs="Times New Roman"/>
                <w:sz w:val="20"/>
                <w:szCs w:val="20"/>
              </w:rPr>
              <w:t>onitorowanie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7A27" w:rsidRPr="007C47A9">
              <w:rPr>
                <w:rFonts w:ascii="Times New Roman" w:hAnsi="Times New Roman" w:cs="Times New Roman"/>
                <w:sz w:val="20"/>
                <w:szCs w:val="20"/>
              </w:rPr>
              <w:t>bezpieczeństwa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7A27" w:rsidRPr="007C47A9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9579C" w:rsidRPr="007C47A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7A27" w:rsidRPr="007C47A9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7A27" w:rsidRPr="007C47A9">
              <w:rPr>
                <w:rFonts w:ascii="Times New Roman" w:hAnsi="Times New Roman" w:cs="Times New Roman"/>
                <w:sz w:val="20"/>
                <w:szCs w:val="20"/>
              </w:rPr>
              <w:t>każdej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7A27" w:rsidRPr="007C47A9">
              <w:rPr>
                <w:rFonts w:ascii="Times New Roman" w:hAnsi="Times New Roman" w:cs="Times New Roman"/>
                <w:sz w:val="20"/>
                <w:szCs w:val="20"/>
              </w:rPr>
              <w:t>wizycie</w:t>
            </w:r>
            <w:r w:rsidR="00DB5469" w:rsidRPr="007C47A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655F889" w14:textId="6DBD5867" w:rsidR="00DB5469" w:rsidRPr="007C47A9" w:rsidRDefault="000E428C" w:rsidP="00D41E4E">
            <w:pPr>
              <w:pStyle w:val="Akapitzlist"/>
              <w:numPr>
                <w:ilvl w:val="3"/>
                <w:numId w:val="21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DB5469" w:rsidRPr="007C47A9">
              <w:rPr>
                <w:rFonts w:ascii="Times New Roman" w:hAnsi="Times New Roman" w:cs="Times New Roman"/>
                <w:sz w:val="20"/>
                <w:szCs w:val="20"/>
              </w:rPr>
              <w:t>odatkowo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B5469" w:rsidRPr="007C47A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B5469" w:rsidRPr="007C47A9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B5469" w:rsidRPr="007C47A9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B5469" w:rsidRPr="007C47A9">
              <w:rPr>
                <w:rFonts w:ascii="Times New Roman" w:hAnsi="Times New Roman" w:cs="Times New Roman"/>
                <w:sz w:val="20"/>
                <w:szCs w:val="20"/>
              </w:rPr>
              <w:t>lomitapidem</w:t>
            </w:r>
            <w:proofErr w:type="spellEnd"/>
            <w:r w:rsidR="00DB5469" w:rsidRPr="007C47A9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614C89D9" w14:textId="13F547C7" w:rsidR="00DB5469" w:rsidRPr="007C47A9" w:rsidRDefault="00DB5469" w:rsidP="00D41E4E">
            <w:pPr>
              <w:pStyle w:val="Akapitzlist"/>
              <w:numPr>
                <w:ilvl w:val="4"/>
                <w:numId w:val="21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cholesterolu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trójglicerydów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zwiększeniem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miesiąc,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wybierając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częstszą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tych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opcji</w:t>
            </w:r>
            <w:r w:rsidR="000E428C" w:rsidRPr="007C47A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DBC01BD" w14:textId="43CF678C" w:rsidR="00DB5469" w:rsidRPr="007C47A9" w:rsidRDefault="00DB5469" w:rsidP="00D41E4E">
            <w:pPr>
              <w:pStyle w:val="Akapitzlist"/>
              <w:numPr>
                <w:ilvl w:val="4"/>
                <w:numId w:val="21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pierwszym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roku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wykonywać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czynności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wątroby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(przynajmniej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AlAT</w:t>
            </w:r>
            <w:proofErr w:type="spellEnd"/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AspAT</w:t>
            </w:r>
            <w:proofErr w:type="spellEnd"/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zwiększeniem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miesiąc,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wybierając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częstszą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tych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opcji</w:t>
            </w:r>
            <w:r w:rsidR="000E428C" w:rsidRPr="007C47A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4EEC988" w14:textId="06C43FED" w:rsidR="00DB5469" w:rsidRPr="007C47A9" w:rsidRDefault="00DB5469" w:rsidP="00D41E4E">
            <w:pPr>
              <w:pStyle w:val="Akapitzlist"/>
              <w:numPr>
                <w:ilvl w:val="4"/>
                <w:numId w:val="21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pierwszym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roku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wykonywać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czynności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wątroby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przynajmniej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co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miesiące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zwiększeniem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0E428C" w:rsidRPr="007C47A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44DB2AB" w14:textId="72E6DD9B" w:rsidR="00DB5469" w:rsidRPr="007C47A9" w:rsidRDefault="00DB5469" w:rsidP="00D41E4E">
            <w:pPr>
              <w:pStyle w:val="Akapitzlist"/>
              <w:numPr>
                <w:ilvl w:val="4"/>
                <w:numId w:val="21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przesiewowe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celu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wykrycia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stłuszczeniowego</w:t>
            </w:r>
            <w:proofErr w:type="spellEnd"/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zapalenia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zwłóknienia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wątroby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(co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roku)</w:t>
            </w:r>
            <w:r w:rsidR="001D0D4B" w:rsidRPr="007C47A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47E2D8C" w14:textId="77777777" w:rsidR="00BA2FC5" w:rsidRPr="007C47A9" w:rsidRDefault="00BA2FC5" w:rsidP="00D41E4E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A62AA1" w14:textId="5A56ED40" w:rsidR="00C058A9" w:rsidRPr="007C47A9" w:rsidRDefault="00C058A9" w:rsidP="00D41E4E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b/>
                <w:sz w:val="20"/>
                <w:szCs w:val="20"/>
              </w:rPr>
              <w:t>Monitorowanie</w:t>
            </w:r>
            <w:r w:rsidR="000C30A8" w:rsidRPr="007C47A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CF2D49" w:rsidRPr="007C47A9">
              <w:rPr>
                <w:rFonts w:ascii="Times New Roman" w:hAnsi="Times New Roman" w:cs="Times New Roman"/>
                <w:b/>
                <w:sz w:val="20"/>
                <w:szCs w:val="20"/>
              </w:rPr>
              <w:t>skuteczności</w:t>
            </w:r>
            <w:r w:rsidR="000C30A8" w:rsidRPr="007C47A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08220D" w:rsidRPr="007C47A9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</w:p>
          <w:p w14:paraId="5F7BC3E7" w14:textId="366FB7EF" w:rsidR="000A58AD" w:rsidRPr="007C47A9" w:rsidRDefault="00041175" w:rsidP="00D41E4E">
            <w:pPr>
              <w:pStyle w:val="Akapitzlist"/>
              <w:numPr>
                <w:ilvl w:val="3"/>
                <w:numId w:val="21"/>
              </w:num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badanie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lipidogramu</w:t>
            </w:r>
            <w:proofErr w:type="spellEnd"/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5531D8BF" w14:textId="50510BD9" w:rsidR="000A58AD" w:rsidRPr="007C47A9" w:rsidRDefault="000A58AD" w:rsidP="00D41E4E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Ocena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odpowiedzi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na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leczenie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powinna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być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przeprowadzona,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miarę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możliwości,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wykorzystaniem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tego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samego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rodzaju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badań,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który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był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zastosowany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podczas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kwalifikowania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pacjenta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do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leczenia.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Wykonane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badania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muszą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pozwolić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na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obiektywną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ocenę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odpowiedzi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na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leczenie.</w:t>
            </w:r>
          </w:p>
          <w:p w14:paraId="0EA851D8" w14:textId="31D52750" w:rsidR="00284FB8" w:rsidRPr="007C47A9" w:rsidRDefault="001D0D4B" w:rsidP="00D41E4E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3" w:name="_Hlk142517982"/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przypadku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leczenia</w:t>
            </w:r>
            <w:r w:rsidR="00284FB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14:paraId="6D0F250C" w14:textId="3E8AEA02" w:rsidR="001D0D4B" w:rsidRPr="007C47A9" w:rsidRDefault="001D0D4B" w:rsidP="00A57CFD">
            <w:pPr>
              <w:pStyle w:val="Akapitzlist"/>
              <w:numPr>
                <w:ilvl w:val="4"/>
                <w:numId w:val="21"/>
              </w:numPr>
              <w:spacing w:line="276" w:lineRule="auto"/>
              <w:ind w:left="454" w:hanging="22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7C47A9">
              <w:rPr>
                <w:rFonts w:ascii="Times New Roman" w:hAnsi="Times New Roman" w:cs="Times New Roman"/>
                <w:i/>
                <w:sz w:val="20"/>
                <w:szCs w:val="20"/>
              </w:rPr>
              <w:t>alirokumabem</w:t>
            </w:r>
            <w:proofErr w:type="spellEnd"/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C47A9">
              <w:rPr>
                <w:rFonts w:ascii="Times New Roman" w:hAnsi="Times New Roman" w:cs="Times New Roman"/>
                <w:i/>
                <w:sz w:val="20"/>
                <w:szCs w:val="20"/>
              </w:rPr>
              <w:t>ewolokumabem</w:t>
            </w:r>
            <w:proofErr w:type="spellEnd"/>
            <w:r w:rsidR="00751641" w:rsidRPr="007C47A9">
              <w:rPr>
                <w:rFonts w:ascii="Times New Roman" w:hAnsi="Times New Roman"/>
                <w:i/>
                <w:sz w:val="20"/>
              </w:rPr>
              <w:t xml:space="preserve"> </w:t>
            </w:r>
            <w:r w:rsidR="00751641" w:rsidRPr="007C47A9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(dotyczy pacjentów </w:t>
            </w:r>
            <w:r w:rsidR="00315D2B" w:rsidRPr="007C47A9">
              <w:rPr>
                <w:rFonts w:ascii="Times New Roman" w:hAnsi="Times New Roman" w:cs="Times New Roman"/>
                <w:iCs/>
                <w:sz w:val="20"/>
                <w:szCs w:val="20"/>
              </w:rPr>
              <w:t>dorosłych</w:t>
            </w:r>
            <w:r w:rsidR="00751641" w:rsidRPr="007C47A9">
              <w:rPr>
                <w:rFonts w:ascii="Times New Roman" w:hAnsi="Times New Roman" w:cs="Times New Roman"/>
                <w:iCs/>
                <w:sz w:val="20"/>
                <w:szCs w:val="20"/>
              </w:rPr>
              <w:t>)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84FB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badani</w:t>
            </w:r>
            <w:r w:rsidR="00284FB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e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lipidogramu</w:t>
            </w:r>
            <w:proofErr w:type="spellEnd"/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wykonuje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się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po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miesiącach</w:t>
            </w:r>
            <w:r w:rsidR="00284FB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leczenia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a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F87476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następnie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co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  <w:r w:rsidR="000C30A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miesięcy</w:t>
            </w:r>
            <w:r w:rsidR="00284FB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</w:p>
          <w:p w14:paraId="2686A573" w14:textId="3FD9C3CA" w:rsidR="00751641" w:rsidRPr="007C47A9" w:rsidRDefault="00A80F6E" w:rsidP="00A57CFD">
            <w:pPr>
              <w:pStyle w:val="Akapitzlist"/>
              <w:numPr>
                <w:ilvl w:val="4"/>
                <w:numId w:val="21"/>
              </w:numPr>
              <w:spacing w:line="276" w:lineRule="auto"/>
              <w:ind w:left="454" w:hanging="22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7C47A9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alirokumabem</w:t>
            </w:r>
            <w:proofErr w:type="spellEnd"/>
            <w:r w:rsidRPr="007C47A9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lub</w:t>
            </w:r>
            <w:r w:rsidRPr="007C47A9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="00751641" w:rsidRPr="007C47A9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ewolokumabem</w:t>
            </w:r>
            <w:proofErr w:type="spellEnd"/>
            <w:r w:rsidR="00751641" w:rsidRPr="007C47A9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</w:t>
            </w:r>
            <w:r w:rsidR="00751641" w:rsidRPr="007C47A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(dotyczy pacjentów </w:t>
            </w:r>
            <w:r w:rsidR="00315D2B" w:rsidRPr="007C47A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pediatrycznych</w:t>
            </w:r>
            <w:r w:rsidR="00751641" w:rsidRPr="007C47A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)</w:t>
            </w:r>
            <w:r w:rsidR="00751641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badanie </w:t>
            </w:r>
            <w:proofErr w:type="spellStart"/>
            <w:r w:rsidR="00751641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lipidogramu</w:t>
            </w:r>
            <w:proofErr w:type="spellEnd"/>
            <w:r w:rsidR="00751641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wykonuje się po 3 miesiącach leczenia, a następnie co 6 miesięcy,</w:t>
            </w:r>
          </w:p>
          <w:p w14:paraId="717FFF7F" w14:textId="47EFDAF1" w:rsidR="003547CD" w:rsidRPr="007C47A9" w:rsidRDefault="003547CD" w:rsidP="00A57CFD">
            <w:pPr>
              <w:pStyle w:val="Akapitzlist"/>
              <w:numPr>
                <w:ilvl w:val="4"/>
                <w:numId w:val="21"/>
              </w:numPr>
              <w:spacing w:line="276" w:lineRule="auto"/>
              <w:ind w:left="454" w:hanging="22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7C47A9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inklisiranem</w:t>
            </w:r>
            <w:proofErr w:type="spellEnd"/>
            <w:r w:rsidR="00032967" w:rsidRPr="007C47A9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="00032967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032967" w:rsidRPr="007C47A9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032967" w:rsidRPr="007C47A9">
              <w:rPr>
                <w:rFonts w:ascii="Times New Roman" w:hAnsi="Times New Roman" w:cs="Times New Roman"/>
                <w:i/>
                <w:sz w:val="20"/>
                <w:szCs w:val="20"/>
              </w:rPr>
              <w:t>lomitapidem</w:t>
            </w:r>
            <w:proofErr w:type="spellEnd"/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84FB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 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badani</w:t>
            </w:r>
            <w:r w:rsidR="00284FB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e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lipidogramu</w:t>
            </w:r>
            <w:proofErr w:type="spellEnd"/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wykonuje się po 6 miesiącach</w:t>
            </w:r>
            <w:r w:rsidR="00284FB8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leczenia</w:t>
            </w:r>
            <w:r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, a następnie co 12 miesięcy</w:t>
            </w:r>
            <w:r w:rsidR="00032967" w:rsidRPr="007C47A9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bookmarkEnd w:id="3"/>
          <w:p w14:paraId="7C073519" w14:textId="77777777" w:rsidR="000A58AD" w:rsidRPr="007C47A9" w:rsidRDefault="000A58AD" w:rsidP="00D41E4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BC6CC4E" w14:textId="74E64DE0" w:rsidR="00CF2D49" w:rsidRPr="007C47A9" w:rsidRDefault="00CF2D49" w:rsidP="00D41E4E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b/>
                <w:sz w:val="20"/>
                <w:szCs w:val="20"/>
              </w:rPr>
              <w:t>Monitorowanie</w:t>
            </w:r>
            <w:r w:rsidR="000C30A8" w:rsidRPr="007C47A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b/>
                <w:sz w:val="20"/>
                <w:szCs w:val="20"/>
              </w:rPr>
              <w:t>programu</w:t>
            </w:r>
          </w:p>
          <w:p w14:paraId="0CBE2301" w14:textId="79C18FA6" w:rsidR="00792185" w:rsidRPr="007C47A9" w:rsidRDefault="004E3DEC" w:rsidP="00D41E4E">
            <w:pPr>
              <w:pStyle w:val="Akapitzlist"/>
              <w:numPr>
                <w:ilvl w:val="3"/>
                <w:numId w:val="21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="00792185" w:rsidRPr="007C47A9">
              <w:rPr>
                <w:rFonts w:ascii="Times New Roman" w:hAnsi="Times New Roman" w:cs="Times New Roman"/>
                <w:sz w:val="20"/>
                <w:szCs w:val="20"/>
              </w:rPr>
              <w:t>romadzenie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7C47A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7C47A9">
              <w:rPr>
                <w:rFonts w:ascii="Times New Roman" w:hAnsi="Times New Roman" w:cs="Times New Roman"/>
                <w:sz w:val="20"/>
                <w:szCs w:val="20"/>
              </w:rPr>
              <w:t>dokumentacji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7C47A9">
              <w:rPr>
                <w:rFonts w:ascii="Times New Roman" w:hAnsi="Times New Roman" w:cs="Times New Roman"/>
                <w:sz w:val="20"/>
                <w:szCs w:val="20"/>
              </w:rPr>
              <w:t>medycznej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7C47A9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7C47A9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7C47A9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7C47A9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7C47A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leczenia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7C47A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7C47A9">
              <w:rPr>
                <w:rFonts w:ascii="Times New Roman" w:hAnsi="Times New Roman" w:cs="Times New Roman"/>
                <w:sz w:val="20"/>
                <w:szCs w:val="20"/>
              </w:rPr>
              <w:t>każdorazowe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7C47A9">
              <w:rPr>
                <w:rFonts w:ascii="Times New Roman" w:hAnsi="Times New Roman" w:cs="Times New Roman"/>
                <w:sz w:val="20"/>
                <w:szCs w:val="20"/>
              </w:rPr>
              <w:t>ich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7C47A9">
              <w:rPr>
                <w:rFonts w:ascii="Times New Roman" w:hAnsi="Times New Roman" w:cs="Times New Roman"/>
                <w:sz w:val="20"/>
                <w:szCs w:val="20"/>
              </w:rPr>
              <w:t>przedstawianie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7C47A9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70C5" w:rsidRPr="007C47A9">
              <w:rPr>
                <w:rFonts w:ascii="Times New Roman" w:hAnsi="Times New Roman" w:cs="Times New Roman"/>
                <w:sz w:val="20"/>
                <w:szCs w:val="20"/>
              </w:rPr>
              <w:t>ż</w:t>
            </w:r>
            <w:r w:rsidR="00792185" w:rsidRPr="007C47A9">
              <w:rPr>
                <w:rFonts w:ascii="Times New Roman" w:hAnsi="Times New Roman" w:cs="Times New Roman"/>
                <w:sz w:val="20"/>
                <w:szCs w:val="20"/>
              </w:rPr>
              <w:t>ądanie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7C47A9">
              <w:rPr>
                <w:rFonts w:ascii="Times New Roman" w:hAnsi="Times New Roman" w:cs="Times New Roman"/>
                <w:sz w:val="20"/>
                <w:szCs w:val="20"/>
              </w:rPr>
              <w:t>kontrolerów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7C47A9">
              <w:rPr>
                <w:rFonts w:ascii="Times New Roman" w:hAnsi="Times New Roman" w:cs="Times New Roman"/>
                <w:sz w:val="20"/>
                <w:szCs w:val="20"/>
              </w:rPr>
              <w:t>Narodowego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7C47A9">
              <w:rPr>
                <w:rFonts w:ascii="Times New Roman" w:hAnsi="Times New Roman" w:cs="Times New Roman"/>
                <w:sz w:val="20"/>
                <w:szCs w:val="20"/>
              </w:rPr>
              <w:t>Funduszu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7C47A9">
              <w:rPr>
                <w:rFonts w:ascii="Times New Roman" w:hAnsi="Times New Roman" w:cs="Times New Roman"/>
                <w:sz w:val="20"/>
                <w:szCs w:val="20"/>
              </w:rPr>
              <w:t>Zdrowia</w:t>
            </w:r>
            <w:r w:rsidR="00C67E16" w:rsidRPr="007C47A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D8FBF14" w14:textId="6A677586" w:rsidR="00CF2D49" w:rsidRPr="007C47A9" w:rsidRDefault="004E3DEC" w:rsidP="00D41E4E">
            <w:pPr>
              <w:pStyle w:val="Akapitzlist"/>
              <w:numPr>
                <w:ilvl w:val="3"/>
                <w:numId w:val="21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792185" w:rsidRPr="007C47A9">
              <w:rPr>
                <w:rFonts w:ascii="Times New Roman" w:hAnsi="Times New Roman" w:cs="Times New Roman"/>
                <w:sz w:val="20"/>
                <w:szCs w:val="20"/>
              </w:rPr>
              <w:t>zupełni</w:t>
            </w:r>
            <w:r w:rsidR="00C67E16" w:rsidRPr="007C47A9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792185" w:rsidRPr="007C47A9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7C47A9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7C47A9">
              <w:rPr>
                <w:rFonts w:ascii="Times New Roman" w:hAnsi="Times New Roman" w:cs="Times New Roman"/>
                <w:sz w:val="20"/>
                <w:szCs w:val="20"/>
              </w:rPr>
              <w:t>zawartych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7C47A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A134E" w:rsidRPr="007C47A9">
              <w:rPr>
                <w:rFonts w:ascii="Times New Roman" w:hAnsi="Times New Roman" w:cs="Times New Roman"/>
                <w:sz w:val="20"/>
                <w:szCs w:val="20"/>
              </w:rPr>
              <w:t>elektronicznym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A134E" w:rsidRPr="007C47A9">
              <w:rPr>
                <w:rFonts w:ascii="Times New Roman" w:hAnsi="Times New Roman" w:cs="Times New Roman"/>
                <w:sz w:val="20"/>
                <w:szCs w:val="20"/>
              </w:rPr>
              <w:t>systemie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A134E" w:rsidRPr="007C47A9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A134E" w:rsidRPr="007C47A9">
              <w:rPr>
                <w:rFonts w:ascii="Times New Roman" w:hAnsi="Times New Roman" w:cs="Times New Roman"/>
                <w:sz w:val="20"/>
                <w:szCs w:val="20"/>
              </w:rPr>
              <w:t>programów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A134E" w:rsidRPr="007C47A9">
              <w:rPr>
                <w:rFonts w:ascii="Times New Roman" w:hAnsi="Times New Roman" w:cs="Times New Roman"/>
                <w:sz w:val="20"/>
                <w:szCs w:val="20"/>
              </w:rPr>
              <w:t>lekowych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7C47A9">
              <w:rPr>
                <w:rFonts w:ascii="Times New Roman" w:hAnsi="Times New Roman" w:cs="Times New Roman"/>
                <w:sz w:val="20"/>
                <w:szCs w:val="20"/>
              </w:rPr>
              <w:t>dostępnym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7C47A9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7C47A9">
              <w:rPr>
                <w:rFonts w:ascii="Times New Roman" w:hAnsi="Times New Roman" w:cs="Times New Roman"/>
                <w:sz w:val="20"/>
                <w:szCs w:val="20"/>
              </w:rPr>
              <w:t>pomocą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7C47A9">
              <w:rPr>
                <w:rFonts w:ascii="Times New Roman" w:hAnsi="Times New Roman" w:cs="Times New Roman"/>
                <w:sz w:val="20"/>
                <w:szCs w:val="20"/>
              </w:rPr>
              <w:t>aplikacji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7C47A9">
              <w:rPr>
                <w:rFonts w:ascii="Times New Roman" w:hAnsi="Times New Roman" w:cs="Times New Roman"/>
                <w:sz w:val="20"/>
                <w:szCs w:val="20"/>
              </w:rPr>
              <w:t>internetowej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7C47A9">
              <w:rPr>
                <w:rFonts w:ascii="Times New Roman" w:hAnsi="Times New Roman" w:cs="Times New Roman"/>
                <w:sz w:val="20"/>
                <w:szCs w:val="20"/>
              </w:rPr>
              <w:t>udostępnionej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7C47A9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7C47A9">
              <w:rPr>
                <w:rFonts w:ascii="Times New Roman" w:hAnsi="Times New Roman" w:cs="Times New Roman"/>
                <w:sz w:val="20"/>
                <w:szCs w:val="20"/>
              </w:rPr>
              <w:t>OW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7C47A9">
              <w:rPr>
                <w:rFonts w:ascii="Times New Roman" w:hAnsi="Times New Roman" w:cs="Times New Roman"/>
                <w:sz w:val="20"/>
                <w:szCs w:val="20"/>
              </w:rPr>
              <w:t>NFZ,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7C47A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7C47A9">
              <w:rPr>
                <w:rFonts w:ascii="Times New Roman" w:hAnsi="Times New Roman" w:cs="Times New Roman"/>
                <w:sz w:val="20"/>
                <w:szCs w:val="20"/>
              </w:rPr>
              <w:t>częstotliwością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7C47A9">
              <w:rPr>
                <w:rFonts w:ascii="Times New Roman" w:hAnsi="Times New Roman" w:cs="Times New Roman"/>
                <w:sz w:val="20"/>
                <w:szCs w:val="20"/>
              </w:rPr>
              <w:t>zgodną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7C47A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7C47A9">
              <w:rPr>
                <w:rFonts w:ascii="Times New Roman" w:hAnsi="Times New Roman" w:cs="Times New Roman"/>
                <w:sz w:val="20"/>
                <w:szCs w:val="20"/>
              </w:rPr>
              <w:t>opisem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7C47A9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7C47A9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7C47A9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7C47A9">
              <w:rPr>
                <w:rFonts w:ascii="Times New Roman" w:hAnsi="Times New Roman" w:cs="Times New Roman"/>
                <w:sz w:val="20"/>
                <w:szCs w:val="20"/>
              </w:rPr>
              <w:t>zakończenie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7C47A9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CF2D49" w:rsidRPr="007C47A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2D49" w:rsidRPr="007C47A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2D49" w:rsidRPr="007C47A9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2D49" w:rsidRPr="007C47A9">
              <w:rPr>
                <w:rFonts w:ascii="Times New Roman" w:hAnsi="Times New Roman" w:cs="Times New Roman"/>
                <w:sz w:val="20"/>
                <w:szCs w:val="20"/>
              </w:rPr>
              <w:t>przekazywanie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2D49" w:rsidRPr="007C47A9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2D49" w:rsidRPr="007C47A9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2D49" w:rsidRPr="007C47A9">
              <w:rPr>
                <w:rFonts w:ascii="Times New Roman" w:hAnsi="Times New Roman" w:cs="Times New Roman"/>
                <w:sz w:val="20"/>
                <w:szCs w:val="20"/>
              </w:rPr>
              <w:t>wybranych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2D49" w:rsidRPr="007C47A9">
              <w:rPr>
                <w:rFonts w:ascii="Times New Roman" w:hAnsi="Times New Roman" w:cs="Times New Roman"/>
                <w:sz w:val="20"/>
                <w:szCs w:val="20"/>
              </w:rPr>
              <w:t>wskaźników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2D49" w:rsidRPr="007C47A9">
              <w:rPr>
                <w:rFonts w:ascii="Times New Roman" w:hAnsi="Times New Roman" w:cs="Times New Roman"/>
                <w:sz w:val="20"/>
                <w:szCs w:val="20"/>
              </w:rPr>
              <w:t>skuteczności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2D49" w:rsidRPr="007C47A9">
              <w:rPr>
                <w:rFonts w:ascii="Times New Roman" w:hAnsi="Times New Roman" w:cs="Times New Roman"/>
                <w:sz w:val="20"/>
                <w:szCs w:val="20"/>
              </w:rPr>
              <w:t>terapii,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2D49" w:rsidRPr="007C47A9">
              <w:rPr>
                <w:rFonts w:ascii="Times New Roman" w:hAnsi="Times New Roman" w:cs="Times New Roman"/>
                <w:sz w:val="20"/>
                <w:szCs w:val="20"/>
              </w:rPr>
              <w:t>dla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2D49" w:rsidRPr="007C47A9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2D49" w:rsidRPr="007C47A9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2D49" w:rsidRPr="007C47A9">
              <w:rPr>
                <w:rFonts w:ascii="Times New Roman" w:hAnsi="Times New Roman" w:cs="Times New Roman"/>
                <w:sz w:val="20"/>
                <w:szCs w:val="20"/>
              </w:rPr>
              <w:t>możliwe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2D49" w:rsidRPr="007C47A9">
              <w:rPr>
                <w:rFonts w:ascii="Times New Roman" w:hAnsi="Times New Roman" w:cs="Times New Roman"/>
                <w:sz w:val="20"/>
                <w:szCs w:val="20"/>
              </w:rPr>
              <w:t>ich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2D49" w:rsidRPr="007C47A9">
              <w:rPr>
                <w:rFonts w:ascii="Times New Roman" w:hAnsi="Times New Roman" w:cs="Times New Roman"/>
                <w:sz w:val="20"/>
                <w:szCs w:val="20"/>
              </w:rPr>
              <w:t>określenie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2D49" w:rsidRPr="007C47A9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2D49" w:rsidRPr="007C47A9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2D49" w:rsidRPr="007C47A9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2D49" w:rsidRPr="007C47A9">
              <w:rPr>
                <w:rFonts w:ascii="Times New Roman" w:hAnsi="Times New Roman" w:cs="Times New Roman"/>
                <w:sz w:val="20"/>
                <w:szCs w:val="20"/>
              </w:rPr>
              <w:t>dla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2D49" w:rsidRPr="007C47A9">
              <w:rPr>
                <w:rFonts w:ascii="Times New Roman" w:hAnsi="Times New Roman" w:cs="Times New Roman"/>
                <w:sz w:val="20"/>
                <w:szCs w:val="20"/>
              </w:rPr>
              <w:t>indywidualnego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2D49" w:rsidRPr="007C47A9">
              <w:rPr>
                <w:rFonts w:ascii="Times New Roman" w:hAnsi="Times New Roman" w:cs="Times New Roman"/>
                <w:sz w:val="20"/>
                <w:szCs w:val="20"/>
              </w:rPr>
              <w:t>pacjenta,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2D49" w:rsidRPr="007C47A9">
              <w:rPr>
                <w:rFonts w:ascii="Times New Roman" w:hAnsi="Times New Roman" w:cs="Times New Roman"/>
                <w:sz w:val="20"/>
                <w:szCs w:val="20"/>
              </w:rPr>
              <w:t>spośród:</w:t>
            </w:r>
          </w:p>
          <w:p w14:paraId="5EA20E79" w14:textId="59C39CA5" w:rsidR="00CF2D49" w:rsidRPr="007C47A9" w:rsidRDefault="00BF3313" w:rsidP="00D41E4E">
            <w:pPr>
              <w:pStyle w:val="Akapitzlist"/>
              <w:numPr>
                <w:ilvl w:val="4"/>
                <w:numId w:val="21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zmiana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LDL-C</w:t>
            </w:r>
            <w:r w:rsidR="00D76E16" w:rsidRPr="007C47A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A12183E" w14:textId="6C2502A2" w:rsidR="00CF2D49" w:rsidRPr="007C47A9" w:rsidRDefault="00D76E16" w:rsidP="00D41E4E">
            <w:pPr>
              <w:pStyle w:val="Akapitzlist"/>
              <w:numPr>
                <w:ilvl w:val="4"/>
                <w:numId w:val="21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zmiana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TC;</w:t>
            </w:r>
          </w:p>
          <w:p w14:paraId="2D3B075F" w14:textId="2A213CC2" w:rsidR="00D76E16" w:rsidRPr="007C47A9" w:rsidRDefault="00D76E16" w:rsidP="00D41E4E">
            <w:pPr>
              <w:pStyle w:val="Akapitzlist"/>
              <w:numPr>
                <w:ilvl w:val="4"/>
                <w:numId w:val="21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zmiana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HDL;</w:t>
            </w:r>
          </w:p>
          <w:p w14:paraId="4DF86FE4" w14:textId="5EE75D16" w:rsidR="00D76E16" w:rsidRPr="007C47A9" w:rsidRDefault="00D76E16" w:rsidP="00D41E4E">
            <w:pPr>
              <w:pStyle w:val="Akapitzlist"/>
              <w:numPr>
                <w:ilvl w:val="4"/>
                <w:numId w:val="21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zmiana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trójglicerydów;</w:t>
            </w:r>
          </w:p>
          <w:p w14:paraId="70288E22" w14:textId="6BDC6325" w:rsidR="00BF3313" w:rsidRPr="007C47A9" w:rsidRDefault="00BF3313" w:rsidP="00D41E4E">
            <w:pPr>
              <w:pStyle w:val="Akapitzlist"/>
              <w:numPr>
                <w:ilvl w:val="4"/>
                <w:numId w:val="21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procentowy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spadek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liczby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zabiegów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LDL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aferezy.</w:t>
            </w:r>
          </w:p>
          <w:p w14:paraId="57701FC8" w14:textId="04BDAB9F" w:rsidR="00C07A27" w:rsidRPr="007C47A9" w:rsidRDefault="004E3DEC" w:rsidP="00D41E4E">
            <w:pPr>
              <w:pStyle w:val="Akapitzlist"/>
              <w:numPr>
                <w:ilvl w:val="3"/>
                <w:numId w:val="21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792185" w:rsidRPr="007C47A9">
              <w:rPr>
                <w:rFonts w:ascii="Times New Roman" w:hAnsi="Times New Roman" w:cs="Times New Roman"/>
                <w:sz w:val="20"/>
                <w:szCs w:val="20"/>
              </w:rPr>
              <w:t>rzekazywanie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7C47A9">
              <w:rPr>
                <w:rFonts w:ascii="Times New Roman" w:hAnsi="Times New Roman" w:cs="Times New Roman"/>
                <w:sz w:val="20"/>
                <w:szCs w:val="20"/>
              </w:rPr>
              <w:t>informacji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7C47A9">
              <w:rPr>
                <w:rFonts w:ascii="Times New Roman" w:hAnsi="Times New Roman" w:cs="Times New Roman"/>
                <w:sz w:val="20"/>
                <w:szCs w:val="20"/>
              </w:rPr>
              <w:t>sprawozdawczo-rozliczeniowych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7C47A9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7C47A9">
              <w:rPr>
                <w:rFonts w:ascii="Times New Roman" w:hAnsi="Times New Roman" w:cs="Times New Roman"/>
                <w:sz w:val="20"/>
                <w:szCs w:val="20"/>
              </w:rPr>
              <w:t>NFZ: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7C47A9">
              <w:rPr>
                <w:rFonts w:ascii="Times New Roman" w:hAnsi="Times New Roman" w:cs="Times New Roman"/>
                <w:sz w:val="20"/>
                <w:szCs w:val="20"/>
              </w:rPr>
              <w:t>informacje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7C47A9">
              <w:rPr>
                <w:rFonts w:ascii="Times New Roman" w:hAnsi="Times New Roman" w:cs="Times New Roman"/>
                <w:sz w:val="20"/>
                <w:szCs w:val="20"/>
              </w:rPr>
              <w:t>przekazuje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7C47A9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7C47A9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7C47A9">
              <w:rPr>
                <w:rFonts w:ascii="Times New Roman" w:hAnsi="Times New Roman" w:cs="Times New Roman"/>
                <w:sz w:val="20"/>
                <w:szCs w:val="20"/>
              </w:rPr>
              <w:t>NFZ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7C47A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7C47A9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7C47A9">
              <w:rPr>
                <w:rFonts w:ascii="Times New Roman" w:hAnsi="Times New Roman" w:cs="Times New Roman"/>
                <w:sz w:val="20"/>
                <w:szCs w:val="20"/>
              </w:rPr>
              <w:t>papierowej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7C47A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7C47A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7C47A9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7C47A9">
              <w:rPr>
                <w:rFonts w:ascii="Times New Roman" w:hAnsi="Times New Roman" w:cs="Times New Roman"/>
                <w:sz w:val="20"/>
                <w:szCs w:val="20"/>
              </w:rPr>
              <w:t>elektronicznej,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7C47A9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7C47A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7C47A9">
              <w:rPr>
                <w:rFonts w:ascii="Times New Roman" w:hAnsi="Times New Roman" w:cs="Times New Roman"/>
                <w:sz w:val="20"/>
                <w:szCs w:val="20"/>
              </w:rPr>
              <w:t>wymaganiami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7C47A9">
              <w:rPr>
                <w:rFonts w:ascii="Times New Roman" w:hAnsi="Times New Roman" w:cs="Times New Roman"/>
                <w:sz w:val="20"/>
                <w:szCs w:val="20"/>
              </w:rPr>
              <w:t>opublikowanymi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185" w:rsidRPr="007C47A9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0C30A8" w:rsidRPr="007C47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7A9">
              <w:rPr>
                <w:rFonts w:ascii="Times New Roman" w:hAnsi="Times New Roman" w:cs="Times New Roman"/>
                <w:sz w:val="20"/>
                <w:szCs w:val="20"/>
              </w:rPr>
              <w:t>NFZ</w:t>
            </w:r>
            <w:r w:rsidR="00792185" w:rsidRPr="007C47A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14:paraId="660FE06D" w14:textId="77777777" w:rsidR="00B74B92" w:rsidRPr="002D071E" w:rsidRDefault="00B74B92" w:rsidP="004037EE">
      <w:pPr>
        <w:spacing w:after="200" w:line="276" w:lineRule="auto"/>
        <w:jc w:val="left"/>
        <w:rPr>
          <w:rFonts w:ascii="Times New Roman" w:hAnsi="Times New Roman" w:cs="Times New Roman"/>
          <w:sz w:val="4"/>
          <w:szCs w:val="4"/>
        </w:rPr>
      </w:pPr>
    </w:p>
    <w:sectPr w:rsidR="00B74B92" w:rsidRPr="002D071E" w:rsidSect="00E7467A">
      <w:headerReference w:type="default" r:id="rId9"/>
      <w:footerReference w:type="default" r:id="rId10"/>
      <w:pgSz w:w="16838" w:h="11906" w:orient="landscape"/>
      <w:pgMar w:top="1588" w:right="720" w:bottom="1418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2BDDE8" w14:textId="77777777" w:rsidR="003D3FB0" w:rsidRDefault="003D3FB0" w:rsidP="00ED0E55">
      <w:pPr>
        <w:spacing w:line="240" w:lineRule="auto"/>
      </w:pPr>
      <w:r>
        <w:separator/>
      </w:r>
    </w:p>
  </w:endnote>
  <w:endnote w:type="continuationSeparator" w:id="0">
    <w:p w14:paraId="0E3441DD" w14:textId="77777777" w:rsidR="003D3FB0" w:rsidRDefault="003D3FB0" w:rsidP="00ED0E55">
      <w:pPr>
        <w:spacing w:line="240" w:lineRule="auto"/>
      </w:pPr>
      <w:r>
        <w:continuationSeparator/>
      </w:r>
    </w:p>
  </w:endnote>
  <w:endnote w:type="continuationNotice" w:id="1">
    <w:p w14:paraId="03D8A97F" w14:textId="77777777" w:rsidR="003D3FB0" w:rsidRDefault="003D3FB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E69655" w14:textId="77777777" w:rsidR="00ED0E55" w:rsidRDefault="00ED0E55">
    <w:pPr>
      <w:pStyle w:val="Stopka"/>
      <w:jc w:val="center"/>
    </w:pPr>
  </w:p>
  <w:p w14:paraId="0E21F82C" w14:textId="77777777" w:rsidR="00ED0E55" w:rsidRDefault="00ED0E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82353F" w14:textId="77777777" w:rsidR="003D3FB0" w:rsidRDefault="003D3FB0" w:rsidP="00ED0E55">
      <w:pPr>
        <w:spacing w:line="240" w:lineRule="auto"/>
      </w:pPr>
      <w:r>
        <w:separator/>
      </w:r>
    </w:p>
  </w:footnote>
  <w:footnote w:type="continuationSeparator" w:id="0">
    <w:p w14:paraId="370BFAA6" w14:textId="77777777" w:rsidR="003D3FB0" w:rsidRDefault="003D3FB0" w:rsidP="00ED0E55">
      <w:pPr>
        <w:spacing w:line="240" w:lineRule="auto"/>
      </w:pPr>
      <w:r>
        <w:continuationSeparator/>
      </w:r>
    </w:p>
  </w:footnote>
  <w:footnote w:type="continuationNotice" w:id="1">
    <w:p w14:paraId="281CD073" w14:textId="77777777" w:rsidR="003D3FB0" w:rsidRDefault="003D3FB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E5B97D" w14:textId="77777777" w:rsidR="00A519C4" w:rsidRDefault="00A519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1660A"/>
    <w:multiLevelType w:val="multilevel"/>
    <w:tmpl w:val="B4268F8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79920CE"/>
    <w:multiLevelType w:val="multilevel"/>
    <w:tmpl w:val="0C7072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2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2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suff w:val="space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0CB24C02"/>
    <w:multiLevelType w:val="multilevel"/>
    <w:tmpl w:val="62524A4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/>
        <w:bCs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/>
        <w:bCs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0CED123D"/>
    <w:multiLevelType w:val="multilevel"/>
    <w:tmpl w:val="F4F4DB7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10EC4E32"/>
    <w:multiLevelType w:val="multilevel"/>
    <w:tmpl w:val="8048D3E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11E658F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24F0901"/>
    <w:multiLevelType w:val="multilevel"/>
    <w:tmpl w:val="112E69D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  <w:i w:val="0"/>
        <w:iCs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13F1455C"/>
    <w:multiLevelType w:val="multilevel"/>
    <w:tmpl w:val="5E78A86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ascii="Times New Roman" w:hAnsi="Times New Roman" w:cs="Times New Roman" w:hint="default"/>
        <w:b w:val="0"/>
        <w:bCs w:val="0"/>
        <w:sz w:val="20"/>
        <w:szCs w:val="2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suff w:val="space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20713590"/>
    <w:multiLevelType w:val="multilevel"/>
    <w:tmpl w:val="BC2C5EF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2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2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suff w:val="space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268B607B"/>
    <w:multiLevelType w:val="multilevel"/>
    <w:tmpl w:val="2834A2C4"/>
    <w:lvl w:ilvl="0">
      <w:start w:val="4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2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suff w:val="space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0" w15:restartNumberingAfterBreak="0">
    <w:nsid w:val="36313321"/>
    <w:multiLevelType w:val="multilevel"/>
    <w:tmpl w:val="ACC807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5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3E8B27E0"/>
    <w:multiLevelType w:val="multilevel"/>
    <w:tmpl w:val="B4268F8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2" w15:restartNumberingAfterBreak="0">
    <w:nsid w:val="4039089A"/>
    <w:multiLevelType w:val="hybridMultilevel"/>
    <w:tmpl w:val="7AC8A7AA"/>
    <w:lvl w:ilvl="0" w:tplc="04150017">
      <w:start w:val="1"/>
      <w:numFmt w:val="lowerLetter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3" w15:restartNumberingAfterBreak="0">
    <w:nsid w:val="42BD1B4B"/>
    <w:multiLevelType w:val="hybridMultilevel"/>
    <w:tmpl w:val="0FF8E482"/>
    <w:lvl w:ilvl="0" w:tplc="E7B2179C">
      <w:start w:val="1"/>
      <w:numFmt w:val="bullet"/>
      <w:lvlText w:val=""/>
      <w:lvlJc w:val="left"/>
      <w:pPr>
        <w:ind w:left="8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4" w15:restartNumberingAfterBreak="0">
    <w:nsid w:val="446650F6"/>
    <w:multiLevelType w:val="multilevel"/>
    <w:tmpl w:val="85B6FCEA"/>
    <w:styleLink w:val="Lista41"/>
    <w:lvl w:ilvl="0">
      <w:start w:val="1"/>
      <w:numFmt w:val="decimal"/>
      <w:lvlText w:val="%1."/>
      <w:lvlJc w:val="left"/>
      <w:rPr>
        <w:position w:val="0"/>
        <w:shd w:val="clear" w:color="auto" w:fill="FFFF00"/>
      </w:rPr>
    </w:lvl>
    <w:lvl w:ilvl="1">
      <w:start w:val="1"/>
      <w:numFmt w:val="decimal"/>
      <w:lvlText w:val="%1.%2."/>
      <w:lvlJc w:val="left"/>
      <w:rPr>
        <w:position w:val="0"/>
        <w:shd w:val="clear" w:color="auto" w:fill="FFFF00"/>
      </w:rPr>
    </w:lvl>
    <w:lvl w:ilvl="2">
      <w:start w:val="1"/>
      <w:numFmt w:val="decimal"/>
      <w:lvlText w:val="%3)"/>
      <w:lvlJc w:val="left"/>
      <w:rPr>
        <w:position w:val="0"/>
        <w:shd w:val="clear" w:color="auto" w:fill="FFFF00"/>
      </w:rPr>
    </w:lvl>
    <w:lvl w:ilvl="3">
      <w:start w:val="3"/>
      <w:numFmt w:val="lowerLetter"/>
      <w:lvlText w:val="%4)"/>
      <w:lvlJc w:val="left"/>
      <w:rPr>
        <w:position w:val="0"/>
        <w:shd w:val="clear" w:color="auto" w:fill="FFFF00"/>
      </w:rPr>
    </w:lvl>
    <w:lvl w:ilvl="4">
      <w:start w:val="1"/>
      <w:numFmt w:val="bullet"/>
      <w:lvlText w:val="−"/>
      <w:lvlJc w:val="left"/>
      <w:rPr>
        <w:position w:val="0"/>
        <w:shd w:val="clear" w:color="auto" w:fill="FFFF00"/>
      </w:rPr>
    </w:lvl>
    <w:lvl w:ilvl="5">
      <w:start w:val="1"/>
      <w:numFmt w:val="lowerRoman"/>
      <w:lvlText w:val="%6."/>
      <w:lvlJc w:val="left"/>
      <w:rPr>
        <w:position w:val="0"/>
        <w:shd w:val="clear" w:color="auto" w:fill="FFFF00"/>
      </w:rPr>
    </w:lvl>
    <w:lvl w:ilvl="6">
      <w:start w:val="1"/>
      <w:numFmt w:val="decimal"/>
      <w:lvlText w:val="%1.%2.%3.%4.%5.%6.%7."/>
      <w:lvlJc w:val="left"/>
      <w:rPr>
        <w:position w:val="0"/>
        <w:shd w:val="clear" w:color="auto" w:fill="FFFF00"/>
      </w:rPr>
    </w:lvl>
    <w:lvl w:ilvl="7">
      <w:start w:val="1"/>
      <w:numFmt w:val="decimal"/>
      <w:lvlText w:val="%1.%2.%3.%4.%5.%6.%7.%8."/>
      <w:lvlJc w:val="left"/>
      <w:rPr>
        <w:position w:val="0"/>
        <w:shd w:val="clear" w:color="auto" w:fill="FFFF00"/>
      </w:rPr>
    </w:lvl>
    <w:lvl w:ilvl="8">
      <w:start w:val="1"/>
      <w:numFmt w:val="decimal"/>
      <w:lvlText w:val="%1.%2.%3.%4.%5.%6.%7.%8.%9."/>
      <w:lvlJc w:val="left"/>
      <w:rPr>
        <w:position w:val="0"/>
        <w:shd w:val="clear" w:color="auto" w:fill="FFFF00"/>
      </w:rPr>
    </w:lvl>
  </w:abstractNum>
  <w:abstractNum w:abstractNumId="15" w15:restartNumberingAfterBreak="0">
    <w:nsid w:val="4DF43EEC"/>
    <w:multiLevelType w:val="multilevel"/>
    <w:tmpl w:val="66CC00F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suff w:val="space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6" w15:restartNumberingAfterBreak="0">
    <w:nsid w:val="5752377C"/>
    <w:multiLevelType w:val="multilevel"/>
    <w:tmpl w:val="7400BDD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7" w15:restartNumberingAfterBreak="0">
    <w:nsid w:val="59155088"/>
    <w:multiLevelType w:val="multilevel"/>
    <w:tmpl w:val="5B2658E6"/>
    <w:styleLink w:val="List16"/>
    <w:lvl w:ilvl="0">
      <w:start w:val="1"/>
      <w:numFmt w:val="decimal"/>
      <w:lvlText w:val="%1."/>
      <w:lvlJc w:val="left"/>
      <w:pPr>
        <w:tabs>
          <w:tab w:val="num" w:pos="85"/>
        </w:tabs>
        <w:ind w:left="85" w:hanging="85"/>
      </w:pPr>
      <w:rPr>
        <w:b/>
        <w:bCs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89"/>
        </w:tabs>
        <w:ind w:left="189" w:hanging="189"/>
      </w:pPr>
      <w:rPr>
        <w:b/>
        <w:bCs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416"/>
        </w:tabs>
        <w:ind w:left="416" w:hanging="189"/>
      </w:pPr>
      <w:rPr>
        <w:b/>
        <w:bCs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3">
      <w:start w:val="1"/>
      <w:numFmt w:val="lowerLetter"/>
      <w:lvlText w:val="%4)"/>
      <w:lvlJc w:val="left"/>
      <w:pPr>
        <w:tabs>
          <w:tab w:val="num" w:pos="642"/>
        </w:tabs>
        <w:ind w:left="642" w:hanging="188"/>
      </w:pPr>
      <w:rPr>
        <w:b/>
        <w:bCs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4">
      <w:start w:val="1"/>
      <w:numFmt w:val="bullet"/>
      <w:lvlText w:val="−"/>
      <w:lvlJc w:val="left"/>
      <w:pPr>
        <w:tabs>
          <w:tab w:val="num" w:pos="869"/>
        </w:tabs>
        <w:ind w:left="869" w:hanging="189"/>
      </w:pPr>
      <w:rPr>
        <w:b/>
        <w:bCs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1096"/>
        </w:tabs>
        <w:ind w:left="1096" w:hanging="189"/>
      </w:pPr>
      <w:rPr>
        <w:b/>
        <w:bCs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num" w:pos="3266"/>
        </w:tabs>
        <w:ind w:left="3266" w:hanging="900"/>
      </w:pPr>
      <w:rPr>
        <w:b/>
        <w:bCs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3746"/>
        </w:tabs>
        <w:ind w:left="3746" w:hanging="1020"/>
      </w:pPr>
      <w:rPr>
        <w:b/>
        <w:bCs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num" w:pos="4286"/>
        </w:tabs>
        <w:ind w:left="4286" w:hanging="1200"/>
      </w:pPr>
      <w:rPr>
        <w:b/>
        <w:bCs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</w:abstractNum>
  <w:abstractNum w:abstractNumId="18" w15:restartNumberingAfterBreak="0">
    <w:nsid w:val="598471A2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9" w15:restartNumberingAfterBreak="0">
    <w:nsid w:val="5ABA5463"/>
    <w:multiLevelType w:val="multilevel"/>
    <w:tmpl w:val="F4F4DB7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0" w15:restartNumberingAfterBreak="0">
    <w:nsid w:val="64A601D9"/>
    <w:multiLevelType w:val="hybridMultilevel"/>
    <w:tmpl w:val="949E19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372917"/>
    <w:multiLevelType w:val="multilevel"/>
    <w:tmpl w:val="F4F4DB7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2" w15:restartNumberingAfterBreak="0">
    <w:nsid w:val="68D924B0"/>
    <w:multiLevelType w:val="multilevel"/>
    <w:tmpl w:val="2F62461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2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3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suff w:val="space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3" w15:restartNumberingAfterBreak="0">
    <w:nsid w:val="691510CB"/>
    <w:multiLevelType w:val="multilevel"/>
    <w:tmpl w:val="3BAA582A"/>
    <w:lvl w:ilvl="0">
      <w:start w:val="5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5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4" w15:restartNumberingAfterBreak="0">
    <w:nsid w:val="6EB721D5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5" w15:restartNumberingAfterBreak="0">
    <w:nsid w:val="6ECB3598"/>
    <w:multiLevelType w:val="multilevel"/>
    <w:tmpl w:val="66CC00F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suff w:val="space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6" w15:restartNumberingAfterBreak="0">
    <w:nsid w:val="758F4C44"/>
    <w:multiLevelType w:val="hybridMultilevel"/>
    <w:tmpl w:val="198EA8CA"/>
    <w:lvl w:ilvl="0" w:tplc="0415001B">
      <w:start w:val="1"/>
      <w:numFmt w:val="lowerRoman"/>
      <w:lvlText w:val="%1."/>
      <w:lvlJc w:val="right"/>
      <w:pPr>
        <w:ind w:left="1627" w:hanging="360"/>
      </w:pPr>
    </w:lvl>
    <w:lvl w:ilvl="1" w:tplc="04150019">
      <w:start w:val="1"/>
      <w:numFmt w:val="lowerLetter"/>
      <w:lvlText w:val="%2."/>
      <w:lvlJc w:val="left"/>
      <w:pPr>
        <w:ind w:left="2347" w:hanging="360"/>
      </w:pPr>
    </w:lvl>
    <w:lvl w:ilvl="2" w:tplc="0415001B" w:tentative="1">
      <w:start w:val="1"/>
      <w:numFmt w:val="lowerRoman"/>
      <w:lvlText w:val="%3."/>
      <w:lvlJc w:val="right"/>
      <w:pPr>
        <w:ind w:left="3067" w:hanging="180"/>
      </w:pPr>
    </w:lvl>
    <w:lvl w:ilvl="3" w:tplc="0415000F" w:tentative="1">
      <w:start w:val="1"/>
      <w:numFmt w:val="decimal"/>
      <w:lvlText w:val="%4."/>
      <w:lvlJc w:val="left"/>
      <w:pPr>
        <w:ind w:left="3787" w:hanging="360"/>
      </w:pPr>
    </w:lvl>
    <w:lvl w:ilvl="4" w:tplc="04150019" w:tentative="1">
      <w:start w:val="1"/>
      <w:numFmt w:val="lowerLetter"/>
      <w:lvlText w:val="%5."/>
      <w:lvlJc w:val="left"/>
      <w:pPr>
        <w:ind w:left="4507" w:hanging="360"/>
      </w:pPr>
    </w:lvl>
    <w:lvl w:ilvl="5" w:tplc="0415001B" w:tentative="1">
      <w:start w:val="1"/>
      <w:numFmt w:val="lowerRoman"/>
      <w:lvlText w:val="%6."/>
      <w:lvlJc w:val="right"/>
      <w:pPr>
        <w:ind w:left="5227" w:hanging="180"/>
      </w:pPr>
    </w:lvl>
    <w:lvl w:ilvl="6" w:tplc="0415000F" w:tentative="1">
      <w:start w:val="1"/>
      <w:numFmt w:val="decimal"/>
      <w:lvlText w:val="%7."/>
      <w:lvlJc w:val="left"/>
      <w:pPr>
        <w:ind w:left="5947" w:hanging="360"/>
      </w:pPr>
    </w:lvl>
    <w:lvl w:ilvl="7" w:tplc="04150019" w:tentative="1">
      <w:start w:val="1"/>
      <w:numFmt w:val="lowerLetter"/>
      <w:lvlText w:val="%8."/>
      <w:lvlJc w:val="left"/>
      <w:pPr>
        <w:ind w:left="6667" w:hanging="360"/>
      </w:pPr>
    </w:lvl>
    <w:lvl w:ilvl="8" w:tplc="0415001B" w:tentative="1">
      <w:start w:val="1"/>
      <w:numFmt w:val="lowerRoman"/>
      <w:lvlText w:val="%9."/>
      <w:lvlJc w:val="right"/>
      <w:pPr>
        <w:ind w:left="7387" w:hanging="180"/>
      </w:pPr>
    </w:lvl>
  </w:abstractNum>
  <w:abstractNum w:abstractNumId="27" w15:restartNumberingAfterBreak="0">
    <w:nsid w:val="789D6080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8" w15:restartNumberingAfterBreak="0">
    <w:nsid w:val="7CBF6CFC"/>
    <w:multiLevelType w:val="multilevel"/>
    <w:tmpl w:val="B4268F8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9" w15:restartNumberingAfterBreak="0">
    <w:nsid w:val="7D7F472F"/>
    <w:multiLevelType w:val="multilevel"/>
    <w:tmpl w:val="BC2C5EF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2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2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suff w:val="space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 w16cid:durableId="1286502857">
    <w:abstractNumId w:val="16"/>
  </w:num>
  <w:num w:numId="2" w16cid:durableId="982274386">
    <w:abstractNumId w:val="11"/>
  </w:num>
  <w:num w:numId="3" w16cid:durableId="1217861473">
    <w:abstractNumId w:val="0"/>
  </w:num>
  <w:num w:numId="4" w16cid:durableId="1673989846">
    <w:abstractNumId w:val="17"/>
  </w:num>
  <w:num w:numId="5" w16cid:durableId="1015502135">
    <w:abstractNumId w:val="14"/>
  </w:num>
  <w:num w:numId="6" w16cid:durableId="1604873791">
    <w:abstractNumId w:val="20"/>
  </w:num>
  <w:num w:numId="7" w16cid:durableId="141384956">
    <w:abstractNumId w:val="13"/>
  </w:num>
  <w:num w:numId="8" w16cid:durableId="128325367">
    <w:abstractNumId w:val="26"/>
  </w:num>
  <w:num w:numId="9" w16cid:durableId="465659613">
    <w:abstractNumId w:val="28"/>
  </w:num>
  <w:num w:numId="10" w16cid:durableId="564341592">
    <w:abstractNumId w:val="5"/>
  </w:num>
  <w:num w:numId="11" w16cid:durableId="815486362">
    <w:abstractNumId w:val="12"/>
  </w:num>
  <w:num w:numId="12" w16cid:durableId="2055612789">
    <w:abstractNumId w:val="24"/>
  </w:num>
  <w:num w:numId="13" w16cid:durableId="2080054240">
    <w:abstractNumId w:val="27"/>
  </w:num>
  <w:num w:numId="14" w16cid:durableId="1050417770">
    <w:abstractNumId w:val="18"/>
  </w:num>
  <w:num w:numId="15" w16cid:durableId="1519657103">
    <w:abstractNumId w:val="23"/>
  </w:num>
  <w:num w:numId="16" w16cid:durableId="1755004845">
    <w:abstractNumId w:val="4"/>
  </w:num>
  <w:num w:numId="17" w16cid:durableId="1122841249">
    <w:abstractNumId w:val="6"/>
  </w:num>
  <w:num w:numId="18" w16cid:durableId="575436295">
    <w:abstractNumId w:val="2"/>
  </w:num>
  <w:num w:numId="19" w16cid:durableId="653919497">
    <w:abstractNumId w:val="7"/>
  </w:num>
  <w:num w:numId="20" w16cid:durableId="1632709868">
    <w:abstractNumId w:val="19"/>
  </w:num>
  <w:num w:numId="21" w16cid:durableId="1250580558">
    <w:abstractNumId w:val="3"/>
  </w:num>
  <w:num w:numId="22" w16cid:durableId="570890214">
    <w:abstractNumId w:val="21"/>
  </w:num>
  <w:num w:numId="23" w16cid:durableId="1422946920">
    <w:abstractNumId w:val="25"/>
  </w:num>
  <w:num w:numId="24" w16cid:durableId="1051228015">
    <w:abstractNumId w:val="8"/>
  </w:num>
  <w:num w:numId="25" w16cid:durableId="317615400">
    <w:abstractNumId w:val="15"/>
  </w:num>
  <w:num w:numId="26" w16cid:durableId="1435711868">
    <w:abstractNumId w:val="1"/>
  </w:num>
  <w:num w:numId="27" w16cid:durableId="2015255757">
    <w:abstractNumId w:val="22"/>
  </w:num>
  <w:num w:numId="28" w16cid:durableId="552082518">
    <w:abstractNumId w:val="29"/>
  </w:num>
  <w:num w:numId="29" w16cid:durableId="651524227">
    <w:abstractNumId w:val="10"/>
  </w:num>
  <w:num w:numId="30" w16cid:durableId="1887252520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8"/>
  <w:hyphenationZone w:val="425"/>
  <w:doNotHyphenateCaps/>
  <w:drawingGridHorizontalSpacing w:val="90"/>
  <w:displayHorizontalDrawingGridEvery w:val="2"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5992"/>
    <w:rsid w:val="00001AEF"/>
    <w:rsid w:val="00001F53"/>
    <w:rsid w:val="00006039"/>
    <w:rsid w:val="000060BA"/>
    <w:rsid w:val="00007C52"/>
    <w:rsid w:val="0001297C"/>
    <w:rsid w:val="0001360B"/>
    <w:rsid w:val="00014A56"/>
    <w:rsid w:val="0002336F"/>
    <w:rsid w:val="00024E60"/>
    <w:rsid w:val="000308CC"/>
    <w:rsid w:val="000309AA"/>
    <w:rsid w:val="00030E0C"/>
    <w:rsid w:val="000314CB"/>
    <w:rsid w:val="00032967"/>
    <w:rsid w:val="00034608"/>
    <w:rsid w:val="00041175"/>
    <w:rsid w:val="00044978"/>
    <w:rsid w:val="00050CCF"/>
    <w:rsid w:val="000517B9"/>
    <w:rsid w:val="000543F5"/>
    <w:rsid w:val="00054BC5"/>
    <w:rsid w:val="00055EBA"/>
    <w:rsid w:val="00065352"/>
    <w:rsid w:val="0006617C"/>
    <w:rsid w:val="00067205"/>
    <w:rsid w:val="00073349"/>
    <w:rsid w:val="000757B0"/>
    <w:rsid w:val="00076F2E"/>
    <w:rsid w:val="0008220D"/>
    <w:rsid w:val="00084E48"/>
    <w:rsid w:val="00085769"/>
    <w:rsid w:val="00086D62"/>
    <w:rsid w:val="00086EB1"/>
    <w:rsid w:val="000950B8"/>
    <w:rsid w:val="000952E5"/>
    <w:rsid w:val="00096979"/>
    <w:rsid w:val="0009774A"/>
    <w:rsid w:val="000A171B"/>
    <w:rsid w:val="000A3790"/>
    <w:rsid w:val="000A3CC2"/>
    <w:rsid w:val="000A3E4F"/>
    <w:rsid w:val="000A58AD"/>
    <w:rsid w:val="000B2D26"/>
    <w:rsid w:val="000B45EC"/>
    <w:rsid w:val="000B4D21"/>
    <w:rsid w:val="000C10B5"/>
    <w:rsid w:val="000C1A54"/>
    <w:rsid w:val="000C30A8"/>
    <w:rsid w:val="000D1B31"/>
    <w:rsid w:val="000D6485"/>
    <w:rsid w:val="000E0D35"/>
    <w:rsid w:val="000E1DF8"/>
    <w:rsid w:val="000E428C"/>
    <w:rsid w:val="000E772A"/>
    <w:rsid w:val="000E7BBA"/>
    <w:rsid w:val="000F120D"/>
    <w:rsid w:val="000F3A70"/>
    <w:rsid w:val="000F60A5"/>
    <w:rsid w:val="000F6719"/>
    <w:rsid w:val="000F7EA1"/>
    <w:rsid w:val="00101310"/>
    <w:rsid w:val="00101CA3"/>
    <w:rsid w:val="00105A36"/>
    <w:rsid w:val="001105A8"/>
    <w:rsid w:val="00110B4F"/>
    <w:rsid w:val="0011300D"/>
    <w:rsid w:val="00113E6C"/>
    <w:rsid w:val="00120882"/>
    <w:rsid w:val="00123DBC"/>
    <w:rsid w:val="00124A62"/>
    <w:rsid w:val="001269B1"/>
    <w:rsid w:val="00131661"/>
    <w:rsid w:val="0013608C"/>
    <w:rsid w:val="001379E8"/>
    <w:rsid w:val="00141AF5"/>
    <w:rsid w:val="00142CF6"/>
    <w:rsid w:val="00146E87"/>
    <w:rsid w:val="00146FE7"/>
    <w:rsid w:val="0014742D"/>
    <w:rsid w:val="0015017E"/>
    <w:rsid w:val="00151B5D"/>
    <w:rsid w:val="001530A0"/>
    <w:rsid w:val="00155881"/>
    <w:rsid w:val="001634F3"/>
    <w:rsid w:val="00163F27"/>
    <w:rsid w:val="00164594"/>
    <w:rsid w:val="00165082"/>
    <w:rsid w:val="00166CFE"/>
    <w:rsid w:val="00167C41"/>
    <w:rsid w:val="00170125"/>
    <w:rsid w:val="0017349D"/>
    <w:rsid w:val="00176059"/>
    <w:rsid w:val="00180E43"/>
    <w:rsid w:val="00181176"/>
    <w:rsid w:val="00181866"/>
    <w:rsid w:val="00182AB0"/>
    <w:rsid w:val="00184035"/>
    <w:rsid w:val="00185508"/>
    <w:rsid w:val="0019123C"/>
    <w:rsid w:val="0019187F"/>
    <w:rsid w:val="001931DE"/>
    <w:rsid w:val="00194CEF"/>
    <w:rsid w:val="00195992"/>
    <w:rsid w:val="001A0D04"/>
    <w:rsid w:val="001A18DF"/>
    <w:rsid w:val="001A2728"/>
    <w:rsid w:val="001A35BE"/>
    <w:rsid w:val="001A3BB4"/>
    <w:rsid w:val="001A7B03"/>
    <w:rsid w:val="001B1B6F"/>
    <w:rsid w:val="001B349A"/>
    <w:rsid w:val="001B4FAA"/>
    <w:rsid w:val="001B52E1"/>
    <w:rsid w:val="001C35E9"/>
    <w:rsid w:val="001C7ABD"/>
    <w:rsid w:val="001D0D4B"/>
    <w:rsid w:val="001D121A"/>
    <w:rsid w:val="001D2347"/>
    <w:rsid w:val="001D2E91"/>
    <w:rsid w:val="001D30E6"/>
    <w:rsid w:val="001D5319"/>
    <w:rsid w:val="001D54BB"/>
    <w:rsid w:val="001E06A4"/>
    <w:rsid w:val="001E0CD3"/>
    <w:rsid w:val="001E14A1"/>
    <w:rsid w:val="001E1695"/>
    <w:rsid w:val="001E34BE"/>
    <w:rsid w:val="001E39C8"/>
    <w:rsid w:val="001E6A22"/>
    <w:rsid w:val="001E73C0"/>
    <w:rsid w:val="001F1ABF"/>
    <w:rsid w:val="002010CB"/>
    <w:rsid w:val="00205971"/>
    <w:rsid w:val="00206B6D"/>
    <w:rsid w:val="00210588"/>
    <w:rsid w:val="002107C6"/>
    <w:rsid w:val="002114A0"/>
    <w:rsid w:val="00212710"/>
    <w:rsid w:val="00212D46"/>
    <w:rsid w:val="00214996"/>
    <w:rsid w:val="002153DE"/>
    <w:rsid w:val="00217471"/>
    <w:rsid w:val="0021761C"/>
    <w:rsid w:val="00220DAE"/>
    <w:rsid w:val="00221B1E"/>
    <w:rsid w:val="00223235"/>
    <w:rsid w:val="002241C8"/>
    <w:rsid w:val="00237755"/>
    <w:rsid w:val="00237857"/>
    <w:rsid w:val="0023794E"/>
    <w:rsid w:val="00237A15"/>
    <w:rsid w:val="00237C47"/>
    <w:rsid w:val="0024503E"/>
    <w:rsid w:val="0024507B"/>
    <w:rsid w:val="00245D56"/>
    <w:rsid w:val="0024717E"/>
    <w:rsid w:val="00251A9D"/>
    <w:rsid w:val="00254647"/>
    <w:rsid w:val="0025559A"/>
    <w:rsid w:val="00260750"/>
    <w:rsid w:val="00267A6B"/>
    <w:rsid w:val="00270DC9"/>
    <w:rsid w:val="00270F35"/>
    <w:rsid w:val="00271422"/>
    <w:rsid w:val="00271D85"/>
    <w:rsid w:val="00275872"/>
    <w:rsid w:val="00277151"/>
    <w:rsid w:val="00282E91"/>
    <w:rsid w:val="002836CD"/>
    <w:rsid w:val="002840EF"/>
    <w:rsid w:val="00284FB8"/>
    <w:rsid w:val="00285FA1"/>
    <w:rsid w:val="00286C51"/>
    <w:rsid w:val="0029218B"/>
    <w:rsid w:val="002922D8"/>
    <w:rsid w:val="00292CD1"/>
    <w:rsid w:val="00292E81"/>
    <w:rsid w:val="0029498F"/>
    <w:rsid w:val="00295312"/>
    <w:rsid w:val="00296C8F"/>
    <w:rsid w:val="002A04DC"/>
    <w:rsid w:val="002A2B15"/>
    <w:rsid w:val="002A2F63"/>
    <w:rsid w:val="002B0390"/>
    <w:rsid w:val="002B39A9"/>
    <w:rsid w:val="002B5BC1"/>
    <w:rsid w:val="002B6BF8"/>
    <w:rsid w:val="002B75FF"/>
    <w:rsid w:val="002B7EEF"/>
    <w:rsid w:val="002C3A3A"/>
    <w:rsid w:val="002C3CF5"/>
    <w:rsid w:val="002C69D8"/>
    <w:rsid w:val="002D071E"/>
    <w:rsid w:val="002D6BA6"/>
    <w:rsid w:val="002E32C0"/>
    <w:rsid w:val="002F073D"/>
    <w:rsid w:val="002F2AAD"/>
    <w:rsid w:val="002F3A96"/>
    <w:rsid w:val="002F4444"/>
    <w:rsid w:val="002F6DB5"/>
    <w:rsid w:val="00300D6D"/>
    <w:rsid w:val="00301791"/>
    <w:rsid w:val="00302065"/>
    <w:rsid w:val="00302FEF"/>
    <w:rsid w:val="003059C6"/>
    <w:rsid w:val="00313156"/>
    <w:rsid w:val="00315D2B"/>
    <w:rsid w:val="00321040"/>
    <w:rsid w:val="0032156B"/>
    <w:rsid w:val="00324363"/>
    <w:rsid w:val="003367A5"/>
    <w:rsid w:val="00344445"/>
    <w:rsid w:val="00347AFC"/>
    <w:rsid w:val="00350C8D"/>
    <w:rsid w:val="00353ADD"/>
    <w:rsid w:val="003547CD"/>
    <w:rsid w:val="00360450"/>
    <w:rsid w:val="0036239C"/>
    <w:rsid w:val="003644A9"/>
    <w:rsid w:val="00365895"/>
    <w:rsid w:val="0036757D"/>
    <w:rsid w:val="003709C4"/>
    <w:rsid w:val="003715DD"/>
    <w:rsid w:val="00371F5E"/>
    <w:rsid w:val="00372949"/>
    <w:rsid w:val="00374819"/>
    <w:rsid w:val="00374E0E"/>
    <w:rsid w:val="0037672E"/>
    <w:rsid w:val="003775C1"/>
    <w:rsid w:val="003809B0"/>
    <w:rsid w:val="0038102F"/>
    <w:rsid w:val="003826C3"/>
    <w:rsid w:val="00383241"/>
    <w:rsid w:val="003835DA"/>
    <w:rsid w:val="003848C5"/>
    <w:rsid w:val="003879C7"/>
    <w:rsid w:val="00387D60"/>
    <w:rsid w:val="00394F76"/>
    <w:rsid w:val="003954D4"/>
    <w:rsid w:val="003A1597"/>
    <w:rsid w:val="003A1AA1"/>
    <w:rsid w:val="003A1D1B"/>
    <w:rsid w:val="003A52CC"/>
    <w:rsid w:val="003A797A"/>
    <w:rsid w:val="003B1B4C"/>
    <w:rsid w:val="003B23D1"/>
    <w:rsid w:val="003B6447"/>
    <w:rsid w:val="003C0BFB"/>
    <w:rsid w:val="003C287A"/>
    <w:rsid w:val="003C2F4A"/>
    <w:rsid w:val="003D0EA0"/>
    <w:rsid w:val="003D2130"/>
    <w:rsid w:val="003D3FB0"/>
    <w:rsid w:val="003D5D68"/>
    <w:rsid w:val="003D6A10"/>
    <w:rsid w:val="003E0F45"/>
    <w:rsid w:val="003E19BE"/>
    <w:rsid w:val="003E4A70"/>
    <w:rsid w:val="003E6A94"/>
    <w:rsid w:val="003F49D9"/>
    <w:rsid w:val="003F4BC2"/>
    <w:rsid w:val="003F4C2B"/>
    <w:rsid w:val="00401A0D"/>
    <w:rsid w:val="004037EE"/>
    <w:rsid w:val="00406832"/>
    <w:rsid w:val="00413B94"/>
    <w:rsid w:val="00432A6D"/>
    <w:rsid w:val="0043408A"/>
    <w:rsid w:val="00436321"/>
    <w:rsid w:val="004400BE"/>
    <w:rsid w:val="00442410"/>
    <w:rsid w:val="00444044"/>
    <w:rsid w:val="004467A6"/>
    <w:rsid w:val="00450A45"/>
    <w:rsid w:val="004521AB"/>
    <w:rsid w:val="004570C2"/>
    <w:rsid w:val="004616A1"/>
    <w:rsid w:val="0046175B"/>
    <w:rsid w:val="004626BF"/>
    <w:rsid w:val="00464F74"/>
    <w:rsid w:val="00465377"/>
    <w:rsid w:val="004654DE"/>
    <w:rsid w:val="0046662B"/>
    <w:rsid w:val="00470471"/>
    <w:rsid w:val="00473B51"/>
    <w:rsid w:val="00477515"/>
    <w:rsid w:val="00477D7E"/>
    <w:rsid w:val="00482102"/>
    <w:rsid w:val="0048328A"/>
    <w:rsid w:val="00483342"/>
    <w:rsid w:val="00483FD1"/>
    <w:rsid w:val="00491D0B"/>
    <w:rsid w:val="00493C9C"/>
    <w:rsid w:val="004A4516"/>
    <w:rsid w:val="004A49D5"/>
    <w:rsid w:val="004A6C43"/>
    <w:rsid w:val="004B0580"/>
    <w:rsid w:val="004B66F3"/>
    <w:rsid w:val="004B6A68"/>
    <w:rsid w:val="004B6FBD"/>
    <w:rsid w:val="004C031E"/>
    <w:rsid w:val="004C05E9"/>
    <w:rsid w:val="004C3330"/>
    <w:rsid w:val="004C7012"/>
    <w:rsid w:val="004D0997"/>
    <w:rsid w:val="004D1C2F"/>
    <w:rsid w:val="004D1CD2"/>
    <w:rsid w:val="004D358A"/>
    <w:rsid w:val="004D5926"/>
    <w:rsid w:val="004D62BE"/>
    <w:rsid w:val="004E1E10"/>
    <w:rsid w:val="004E26FE"/>
    <w:rsid w:val="004E3669"/>
    <w:rsid w:val="004E3DEC"/>
    <w:rsid w:val="004E472C"/>
    <w:rsid w:val="004E4EE2"/>
    <w:rsid w:val="004E5FFF"/>
    <w:rsid w:val="004E6CFD"/>
    <w:rsid w:val="004E6E78"/>
    <w:rsid w:val="004E769B"/>
    <w:rsid w:val="004F068F"/>
    <w:rsid w:val="004F1290"/>
    <w:rsid w:val="004F1297"/>
    <w:rsid w:val="004F1AC0"/>
    <w:rsid w:val="004F232B"/>
    <w:rsid w:val="004F3044"/>
    <w:rsid w:val="0050023B"/>
    <w:rsid w:val="0050285F"/>
    <w:rsid w:val="0051255F"/>
    <w:rsid w:val="00513064"/>
    <w:rsid w:val="00513AE4"/>
    <w:rsid w:val="00515C88"/>
    <w:rsid w:val="00517E64"/>
    <w:rsid w:val="0052102F"/>
    <w:rsid w:val="00521205"/>
    <w:rsid w:val="00522F59"/>
    <w:rsid w:val="00523134"/>
    <w:rsid w:val="00526EB6"/>
    <w:rsid w:val="00530286"/>
    <w:rsid w:val="00530F30"/>
    <w:rsid w:val="0053215C"/>
    <w:rsid w:val="005352E1"/>
    <w:rsid w:val="0053739C"/>
    <w:rsid w:val="0053741B"/>
    <w:rsid w:val="0055358B"/>
    <w:rsid w:val="00553B2D"/>
    <w:rsid w:val="0055599A"/>
    <w:rsid w:val="00560EC5"/>
    <w:rsid w:val="00563707"/>
    <w:rsid w:val="00565E8A"/>
    <w:rsid w:val="00566DCF"/>
    <w:rsid w:val="005723D5"/>
    <w:rsid w:val="0057386C"/>
    <w:rsid w:val="005757C3"/>
    <w:rsid w:val="00581C43"/>
    <w:rsid w:val="005847E4"/>
    <w:rsid w:val="005903CC"/>
    <w:rsid w:val="00590CAC"/>
    <w:rsid w:val="00591EC7"/>
    <w:rsid w:val="00594A41"/>
    <w:rsid w:val="00594C87"/>
    <w:rsid w:val="00596248"/>
    <w:rsid w:val="00597A1E"/>
    <w:rsid w:val="005A1889"/>
    <w:rsid w:val="005A37D1"/>
    <w:rsid w:val="005A536F"/>
    <w:rsid w:val="005A53EE"/>
    <w:rsid w:val="005A63CA"/>
    <w:rsid w:val="005A65B6"/>
    <w:rsid w:val="005A78F1"/>
    <w:rsid w:val="005B44E0"/>
    <w:rsid w:val="005B7E77"/>
    <w:rsid w:val="005C2D7D"/>
    <w:rsid w:val="005C590D"/>
    <w:rsid w:val="005D3546"/>
    <w:rsid w:val="005D79BC"/>
    <w:rsid w:val="005D7B98"/>
    <w:rsid w:val="005E03DC"/>
    <w:rsid w:val="005E234D"/>
    <w:rsid w:val="005E70CF"/>
    <w:rsid w:val="005E7C1C"/>
    <w:rsid w:val="005F0760"/>
    <w:rsid w:val="005F13AE"/>
    <w:rsid w:val="005F5C55"/>
    <w:rsid w:val="005F63D0"/>
    <w:rsid w:val="00601645"/>
    <w:rsid w:val="00601C54"/>
    <w:rsid w:val="00602925"/>
    <w:rsid w:val="0061408A"/>
    <w:rsid w:val="006164D4"/>
    <w:rsid w:val="0062321D"/>
    <w:rsid w:val="00623D28"/>
    <w:rsid w:val="006272F2"/>
    <w:rsid w:val="00631A00"/>
    <w:rsid w:val="006326F7"/>
    <w:rsid w:val="006351CC"/>
    <w:rsid w:val="0063586B"/>
    <w:rsid w:val="00637B7B"/>
    <w:rsid w:val="00642689"/>
    <w:rsid w:val="006450FC"/>
    <w:rsid w:val="00646767"/>
    <w:rsid w:val="00646E8E"/>
    <w:rsid w:val="00653A42"/>
    <w:rsid w:val="00655AF7"/>
    <w:rsid w:val="00662B0F"/>
    <w:rsid w:val="006669FC"/>
    <w:rsid w:val="0067434C"/>
    <w:rsid w:val="00674D38"/>
    <w:rsid w:val="00677AE6"/>
    <w:rsid w:val="00680C86"/>
    <w:rsid w:val="00682E80"/>
    <w:rsid w:val="00683AD7"/>
    <w:rsid w:val="00684153"/>
    <w:rsid w:val="00686728"/>
    <w:rsid w:val="006875D7"/>
    <w:rsid w:val="00687A90"/>
    <w:rsid w:val="00690BA9"/>
    <w:rsid w:val="00691224"/>
    <w:rsid w:val="00691701"/>
    <w:rsid w:val="0069220E"/>
    <w:rsid w:val="006930DD"/>
    <w:rsid w:val="006963B3"/>
    <w:rsid w:val="006A13C2"/>
    <w:rsid w:val="006A54F8"/>
    <w:rsid w:val="006A66A7"/>
    <w:rsid w:val="006A7D4F"/>
    <w:rsid w:val="006B68EA"/>
    <w:rsid w:val="006B7A80"/>
    <w:rsid w:val="006C3D7D"/>
    <w:rsid w:val="006D05AD"/>
    <w:rsid w:val="006D3AEF"/>
    <w:rsid w:val="006D52A1"/>
    <w:rsid w:val="006D67B9"/>
    <w:rsid w:val="006E033C"/>
    <w:rsid w:val="006E08AC"/>
    <w:rsid w:val="006E5CC0"/>
    <w:rsid w:val="006E6A91"/>
    <w:rsid w:val="006E6AF2"/>
    <w:rsid w:val="006F023E"/>
    <w:rsid w:val="006F1CE9"/>
    <w:rsid w:val="006F2ED6"/>
    <w:rsid w:val="006F5ED7"/>
    <w:rsid w:val="0070062D"/>
    <w:rsid w:val="0070174C"/>
    <w:rsid w:val="007070EB"/>
    <w:rsid w:val="00707334"/>
    <w:rsid w:val="00712270"/>
    <w:rsid w:val="007144F6"/>
    <w:rsid w:val="00714B44"/>
    <w:rsid w:val="00714DE1"/>
    <w:rsid w:val="00716FE8"/>
    <w:rsid w:val="00721B73"/>
    <w:rsid w:val="00722436"/>
    <w:rsid w:val="00722565"/>
    <w:rsid w:val="00724753"/>
    <w:rsid w:val="00724A4C"/>
    <w:rsid w:val="0072578B"/>
    <w:rsid w:val="00726D0A"/>
    <w:rsid w:val="00735170"/>
    <w:rsid w:val="007358B9"/>
    <w:rsid w:val="00735C74"/>
    <w:rsid w:val="0073740E"/>
    <w:rsid w:val="0074031C"/>
    <w:rsid w:val="00740CF7"/>
    <w:rsid w:val="00741AE0"/>
    <w:rsid w:val="0074365C"/>
    <w:rsid w:val="00746232"/>
    <w:rsid w:val="0075059E"/>
    <w:rsid w:val="00751641"/>
    <w:rsid w:val="007516D7"/>
    <w:rsid w:val="007577BA"/>
    <w:rsid w:val="007577D9"/>
    <w:rsid w:val="00757B92"/>
    <w:rsid w:val="00760B6D"/>
    <w:rsid w:val="007613FA"/>
    <w:rsid w:val="00762427"/>
    <w:rsid w:val="00762DAE"/>
    <w:rsid w:val="0076328D"/>
    <w:rsid w:val="0076682E"/>
    <w:rsid w:val="007707B0"/>
    <w:rsid w:val="00771603"/>
    <w:rsid w:val="0077712F"/>
    <w:rsid w:val="007779C3"/>
    <w:rsid w:val="0078245E"/>
    <w:rsid w:val="00782C0A"/>
    <w:rsid w:val="00782CE1"/>
    <w:rsid w:val="00782DBC"/>
    <w:rsid w:val="00782E52"/>
    <w:rsid w:val="00786B1B"/>
    <w:rsid w:val="0079112E"/>
    <w:rsid w:val="00792185"/>
    <w:rsid w:val="0079379B"/>
    <w:rsid w:val="00793B55"/>
    <w:rsid w:val="007A1CB2"/>
    <w:rsid w:val="007A23E0"/>
    <w:rsid w:val="007A29FD"/>
    <w:rsid w:val="007A2EA6"/>
    <w:rsid w:val="007A44BE"/>
    <w:rsid w:val="007A6AA3"/>
    <w:rsid w:val="007A6DEE"/>
    <w:rsid w:val="007A7080"/>
    <w:rsid w:val="007B159C"/>
    <w:rsid w:val="007B38B1"/>
    <w:rsid w:val="007B42D6"/>
    <w:rsid w:val="007B5FEB"/>
    <w:rsid w:val="007B6411"/>
    <w:rsid w:val="007C0150"/>
    <w:rsid w:val="007C47A9"/>
    <w:rsid w:val="007C7A2D"/>
    <w:rsid w:val="007D04A4"/>
    <w:rsid w:val="007D3F04"/>
    <w:rsid w:val="007D5310"/>
    <w:rsid w:val="007D5B00"/>
    <w:rsid w:val="007D5F72"/>
    <w:rsid w:val="007D7F3F"/>
    <w:rsid w:val="007E344A"/>
    <w:rsid w:val="007E495D"/>
    <w:rsid w:val="007E4F5A"/>
    <w:rsid w:val="007E595E"/>
    <w:rsid w:val="007F096D"/>
    <w:rsid w:val="007F5571"/>
    <w:rsid w:val="007F6713"/>
    <w:rsid w:val="00800D03"/>
    <w:rsid w:val="00804BF5"/>
    <w:rsid w:val="00804E65"/>
    <w:rsid w:val="0080535B"/>
    <w:rsid w:val="00806BE4"/>
    <w:rsid w:val="0080750F"/>
    <w:rsid w:val="00811845"/>
    <w:rsid w:val="00814241"/>
    <w:rsid w:val="00823953"/>
    <w:rsid w:val="00823A9B"/>
    <w:rsid w:val="00830E8F"/>
    <w:rsid w:val="00831EFB"/>
    <w:rsid w:val="008326C8"/>
    <w:rsid w:val="00834919"/>
    <w:rsid w:val="008371AA"/>
    <w:rsid w:val="008405D5"/>
    <w:rsid w:val="0084222D"/>
    <w:rsid w:val="008440E6"/>
    <w:rsid w:val="0084561D"/>
    <w:rsid w:val="00845E2D"/>
    <w:rsid w:val="00845EBE"/>
    <w:rsid w:val="00847B16"/>
    <w:rsid w:val="008532C0"/>
    <w:rsid w:val="00853A73"/>
    <w:rsid w:val="00856222"/>
    <w:rsid w:val="00857941"/>
    <w:rsid w:val="00863391"/>
    <w:rsid w:val="00863528"/>
    <w:rsid w:val="0086562C"/>
    <w:rsid w:val="00865E90"/>
    <w:rsid w:val="00866E75"/>
    <w:rsid w:val="008676C3"/>
    <w:rsid w:val="0087056E"/>
    <w:rsid w:val="00871276"/>
    <w:rsid w:val="00872388"/>
    <w:rsid w:val="008746BF"/>
    <w:rsid w:val="0087605B"/>
    <w:rsid w:val="00877095"/>
    <w:rsid w:val="0088101B"/>
    <w:rsid w:val="008825C6"/>
    <w:rsid w:val="00883D2A"/>
    <w:rsid w:val="008846B3"/>
    <w:rsid w:val="00884A68"/>
    <w:rsid w:val="00890DC3"/>
    <w:rsid w:val="008956F1"/>
    <w:rsid w:val="0089579C"/>
    <w:rsid w:val="008A08C9"/>
    <w:rsid w:val="008A16E5"/>
    <w:rsid w:val="008A173B"/>
    <w:rsid w:val="008A1B15"/>
    <w:rsid w:val="008A68B8"/>
    <w:rsid w:val="008B0374"/>
    <w:rsid w:val="008B4C93"/>
    <w:rsid w:val="008B604E"/>
    <w:rsid w:val="008B72D2"/>
    <w:rsid w:val="008C219E"/>
    <w:rsid w:val="008C510A"/>
    <w:rsid w:val="008D2DF1"/>
    <w:rsid w:val="008D400B"/>
    <w:rsid w:val="008E0FD9"/>
    <w:rsid w:val="008E1667"/>
    <w:rsid w:val="008E27C2"/>
    <w:rsid w:val="008E378C"/>
    <w:rsid w:val="008E58D5"/>
    <w:rsid w:val="008E7F1D"/>
    <w:rsid w:val="008F16B7"/>
    <w:rsid w:val="00900EC1"/>
    <w:rsid w:val="00902F3D"/>
    <w:rsid w:val="00905810"/>
    <w:rsid w:val="009059D8"/>
    <w:rsid w:val="0090723D"/>
    <w:rsid w:val="00911DBF"/>
    <w:rsid w:val="009120A0"/>
    <w:rsid w:val="00914E35"/>
    <w:rsid w:val="00914E46"/>
    <w:rsid w:val="00915078"/>
    <w:rsid w:val="00916F36"/>
    <w:rsid w:val="00924751"/>
    <w:rsid w:val="009263CA"/>
    <w:rsid w:val="00926A15"/>
    <w:rsid w:val="00931276"/>
    <w:rsid w:val="009317DE"/>
    <w:rsid w:val="00933128"/>
    <w:rsid w:val="009364C5"/>
    <w:rsid w:val="00936EC9"/>
    <w:rsid w:val="00937162"/>
    <w:rsid w:val="00937B3C"/>
    <w:rsid w:val="00937E65"/>
    <w:rsid w:val="0095000A"/>
    <w:rsid w:val="009517BE"/>
    <w:rsid w:val="00955EED"/>
    <w:rsid w:val="0096125A"/>
    <w:rsid w:val="009615AC"/>
    <w:rsid w:val="00962795"/>
    <w:rsid w:val="009634FF"/>
    <w:rsid w:val="009660FA"/>
    <w:rsid w:val="009666D2"/>
    <w:rsid w:val="009676A5"/>
    <w:rsid w:val="009711F4"/>
    <w:rsid w:val="00973EEC"/>
    <w:rsid w:val="00977CA4"/>
    <w:rsid w:val="00981C33"/>
    <w:rsid w:val="00985D83"/>
    <w:rsid w:val="00986322"/>
    <w:rsid w:val="00986DE7"/>
    <w:rsid w:val="0099311E"/>
    <w:rsid w:val="00994A77"/>
    <w:rsid w:val="00994F6B"/>
    <w:rsid w:val="009957C9"/>
    <w:rsid w:val="00995F64"/>
    <w:rsid w:val="00996B8C"/>
    <w:rsid w:val="009A1BA4"/>
    <w:rsid w:val="009A27A9"/>
    <w:rsid w:val="009B2766"/>
    <w:rsid w:val="009B4692"/>
    <w:rsid w:val="009B6E3A"/>
    <w:rsid w:val="009B70C5"/>
    <w:rsid w:val="009B7147"/>
    <w:rsid w:val="009C1F64"/>
    <w:rsid w:val="009C61DC"/>
    <w:rsid w:val="009C7DA8"/>
    <w:rsid w:val="009D1E4A"/>
    <w:rsid w:val="009D20F3"/>
    <w:rsid w:val="009D2326"/>
    <w:rsid w:val="009D2585"/>
    <w:rsid w:val="009D4A94"/>
    <w:rsid w:val="009D625A"/>
    <w:rsid w:val="009E0618"/>
    <w:rsid w:val="009E0A5E"/>
    <w:rsid w:val="009E2B6C"/>
    <w:rsid w:val="009E3CCF"/>
    <w:rsid w:val="009E742B"/>
    <w:rsid w:val="009F085A"/>
    <w:rsid w:val="009F110E"/>
    <w:rsid w:val="009F11B8"/>
    <w:rsid w:val="009F2329"/>
    <w:rsid w:val="00A00CA5"/>
    <w:rsid w:val="00A01CD1"/>
    <w:rsid w:val="00A0293C"/>
    <w:rsid w:val="00A0711F"/>
    <w:rsid w:val="00A0733C"/>
    <w:rsid w:val="00A07368"/>
    <w:rsid w:val="00A11E1D"/>
    <w:rsid w:val="00A141F9"/>
    <w:rsid w:val="00A14D58"/>
    <w:rsid w:val="00A216B9"/>
    <w:rsid w:val="00A24EFD"/>
    <w:rsid w:val="00A25283"/>
    <w:rsid w:val="00A3034D"/>
    <w:rsid w:val="00A31C67"/>
    <w:rsid w:val="00A32F59"/>
    <w:rsid w:val="00A33A19"/>
    <w:rsid w:val="00A35F7D"/>
    <w:rsid w:val="00A363B9"/>
    <w:rsid w:val="00A37894"/>
    <w:rsid w:val="00A43723"/>
    <w:rsid w:val="00A43AB5"/>
    <w:rsid w:val="00A43AEA"/>
    <w:rsid w:val="00A460EC"/>
    <w:rsid w:val="00A46415"/>
    <w:rsid w:val="00A519C4"/>
    <w:rsid w:val="00A519EB"/>
    <w:rsid w:val="00A54051"/>
    <w:rsid w:val="00A545F9"/>
    <w:rsid w:val="00A5475A"/>
    <w:rsid w:val="00A57CFD"/>
    <w:rsid w:val="00A60369"/>
    <w:rsid w:val="00A63436"/>
    <w:rsid w:val="00A6505C"/>
    <w:rsid w:val="00A674A2"/>
    <w:rsid w:val="00A7007A"/>
    <w:rsid w:val="00A707F0"/>
    <w:rsid w:val="00A72CDE"/>
    <w:rsid w:val="00A74CA8"/>
    <w:rsid w:val="00A80F6E"/>
    <w:rsid w:val="00A820AC"/>
    <w:rsid w:val="00A822B5"/>
    <w:rsid w:val="00A822BB"/>
    <w:rsid w:val="00A84688"/>
    <w:rsid w:val="00A84DD1"/>
    <w:rsid w:val="00A8590C"/>
    <w:rsid w:val="00A86842"/>
    <w:rsid w:val="00A909C1"/>
    <w:rsid w:val="00A909E7"/>
    <w:rsid w:val="00A93404"/>
    <w:rsid w:val="00A93F34"/>
    <w:rsid w:val="00A9402C"/>
    <w:rsid w:val="00A95BC5"/>
    <w:rsid w:val="00A96BDB"/>
    <w:rsid w:val="00AA0D6C"/>
    <w:rsid w:val="00AA134E"/>
    <w:rsid w:val="00AA1E10"/>
    <w:rsid w:val="00AA471F"/>
    <w:rsid w:val="00AA728D"/>
    <w:rsid w:val="00AB3F04"/>
    <w:rsid w:val="00AB7BD6"/>
    <w:rsid w:val="00AC117A"/>
    <w:rsid w:val="00AC28E6"/>
    <w:rsid w:val="00AC4ECE"/>
    <w:rsid w:val="00AC5858"/>
    <w:rsid w:val="00AC6818"/>
    <w:rsid w:val="00AD1441"/>
    <w:rsid w:val="00AD67B9"/>
    <w:rsid w:val="00AE029C"/>
    <w:rsid w:val="00AE253F"/>
    <w:rsid w:val="00AE4B3B"/>
    <w:rsid w:val="00AE570B"/>
    <w:rsid w:val="00AF064C"/>
    <w:rsid w:val="00AF288A"/>
    <w:rsid w:val="00AF3A1A"/>
    <w:rsid w:val="00AF42E1"/>
    <w:rsid w:val="00AF4DB2"/>
    <w:rsid w:val="00AF6F60"/>
    <w:rsid w:val="00B03EB2"/>
    <w:rsid w:val="00B04397"/>
    <w:rsid w:val="00B04CF3"/>
    <w:rsid w:val="00B05750"/>
    <w:rsid w:val="00B11184"/>
    <w:rsid w:val="00B13139"/>
    <w:rsid w:val="00B17697"/>
    <w:rsid w:val="00B20332"/>
    <w:rsid w:val="00B21775"/>
    <w:rsid w:val="00B21994"/>
    <w:rsid w:val="00B25D0D"/>
    <w:rsid w:val="00B3378F"/>
    <w:rsid w:val="00B34A42"/>
    <w:rsid w:val="00B34D02"/>
    <w:rsid w:val="00B35CAC"/>
    <w:rsid w:val="00B430CD"/>
    <w:rsid w:val="00B46CE6"/>
    <w:rsid w:val="00B47453"/>
    <w:rsid w:val="00B528C4"/>
    <w:rsid w:val="00B53438"/>
    <w:rsid w:val="00B54B83"/>
    <w:rsid w:val="00B626D0"/>
    <w:rsid w:val="00B64A42"/>
    <w:rsid w:val="00B678E4"/>
    <w:rsid w:val="00B73328"/>
    <w:rsid w:val="00B74B92"/>
    <w:rsid w:val="00B7576D"/>
    <w:rsid w:val="00B779B3"/>
    <w:rsid w:val="00B779FC"/>
    <w:rsid w:val="00B81A5C"/>
    <w:rsid w:val="00B843C5"/>
    <w:rsid w:val="00B877C9"/>
    <w:rsid w:val="00B91794"/>
    <w:rsid w:val="00B920CD"/>
    <w:rsid w:val="00B92FED"/>
    <w:rsid w:val="00B94842"/>
    <w:rsid w:val="00B95DD1"/>
    <w:rsid w:val="00B96034"/>
    <w:rsid w:val="00B96A6D"/>
    <w:rsid w:val="00B97EC5"/>
    <w:rsid w:val="00BA0FB3"/>
    <w:rsid w:val="00BA2FC5"/>
    <w:rsid w:val="00BB5229"/>
    <w:rsid w:val="00BC0A89"/>
    <w:rsid w:val="00BC1828"/>
    <w:rsid w:val="00BC4203"/>
    <w:rsid w:val="00BC6083"/>
    <w:rsid w:val="00BC63D1"/>
    <w:rsid w:val="00BC74A2"/>
    <w:rsid w:val="00BD0D8D"/>
    <w:rsid w:val="00BD254E"/>
    <w:rsid w:val="00BD5303"/>
    <w:rsid w:val="00BD72EF"/>
    <w:rsid w:val="00BE76FA"/>
    <w:rsid w:val="00BF00B8"/>
    <w:rsid w:val="00BF28BB"/>
    <w:rsid w:val="00BF3152"/>
    <w:rsid w:val="00BF3313"/>
    <w:rsid w:val="00BF3BA6"/>
    <w:rsid w:val="00BF4089"/>
    <w:rsid w:val="00BF458F"/>
    <w:rsid w:val="00BF4706"/>
    <w:rsid w:val="00C00F66"/>
    <w:rsid w:val="00C0274C"/>
    <w:rsid w:val="00C0349D"/>
    <w:rsid w:val="00C058A9"/>
    <w:rsid w:val="00C07237"/>
    <w:rsid w:val="00C075CB"/>
    <w:rsid w:val="00C078F6"/>
    <w:rsid w:val="00C07A27"/>
    <w:rsid w:val="00C11AB2"/>
    <w:rsid w:val="00C153A1"/>
    <w:rsid w:val="00C15A9E"/>
    <w:rsid w:val="00C16DE9"/>
    <w:rsid w:val="00C20183"/>
    <w:rsid w:val="00C202D5"/>
    <w:rsid w:val="00C23FEE"/>
    <w:rsid w:val="00C2642D"/>
    <w:rsid w:val="00C272DB"/>
    <w:rsid w:val="00C30FBD"/>
    <w:rsid w:val="00C31BED"/>
    <w:rsid w:val="00C32847"/>
    <w:rsid w:val="00C41385"/>
    <w:rsid w:val="00C42752"/>
    <w:rsid w:val="00C521D7"/>
    <w:rsid w:val="00C56EBD"/>
    <w:rsid w:val="00C62DE2"/>
    <w:rsid w:val="00C664D9"/>
    <w:rsid w:val="00C67E16"/>
    <w:rsid w:val="00C7285E"/>
    <w:rsid w:val="00C72D63"/>
    <w:rsid w:val="00C754A7"/>
    <w:rsid w:val="00C7637F"/>
    <w:rsid w:val="00C76AB1"/>
    <w:rsid w:val="00C81A90"/>
    <w:rsid w:val="00C94FB4"/>
    <w:rsid w:val="00C955E7"/>
    <w:rsid w:val="00C96AAB"/>
    <w:rsid w:val="00CA2415"/>
    <w:rsid w:val="00CA46DD"/>
    <w:rsid w:val="00CA5DCF"/>
    <w:rsid w:val="00CA7C22"/>
    <w:rsid w:val="00CB30F9"/>
    <w:rsid w:val="00CC3A9A"/>
    <w:rsid w:val="00CC6F9D"/>
    <w:rsid w:val="00CD11EF"/>
    <w:rsid w:val="00CD17AD"/>
    <w:rsid w:val="00CD44C5"/>
    <w:rsid w:val="00CD4620"/>
    <w:rsid w:val="00CD46AE"/>
    <w:rsid w:val="00CD7C8E"/>
    <w:rsid w:val="00CE414C"/>
    <w:rsid w:val="00CE5745"/>
    <w:rsid w:val="00CE6596"/>
    <w:rsid w:val="00CF2D49"/>
    <w:rsid w:val="00CF4EB5"/>
    <w:rsid w:val="00CF4FE7"/>
    <w:rsid w:val="00D014F3"/>
    <w:rsid w:val="00D040AB"/>
    <w:rsid w:val="00D0413F"/>
    <w:rsid w:val="00D05BA1"/>
    <w:rsid w:val="00D06B4E"/>
    <w:rsid w:val="00D076BF"/>
    <w:rsid w:val="00D103F3"/>
    <w:rsid w:val="00D133C5"/>
    <w:rsid w:val="00D14D85"/>
    <w:rsid w:val="00D15995"/>
    <w:rsid w:val="00D16A9F"/>
    <w:rsid w:val="00D20B64"/>
    <w:rsid w:val="00D20FE8"/>
    <w:rsid w:val="00D2178F"/>
    <w:rsid w:val="00D24A06"/>
    <w:rsid w:val="00D2654A"/>
    <w:rsid w:val="00D3439D"/>
    <w:rsid w:val="00D4080A"/>
    <w:rsid w:val="00D41E4E"/>
    <w:rsid w:val="00D46BC1"/>
    <w:rsid w:val="00D50793"/>
    <w:rsid w:val="00D52BBE"/>
    <w:rsid w:val="00D5513A"/>
    <w:rsid w:val="00D55CB4"/>
    <w:rsid w:val="00D566FA"/>
    <w:rsid w:val="00D56F54"/>
    <w:rsid w:val="00D66DE3"/>
    <w:rsid w:val="00D73C18"/>
    <w:rsid w:val="00D73F62"/>
    <w:rsid w:val="00D74048"/>
    <w:rsid w:val="00D76E16"/>
    <w:rsid w:val="00D7797F"/>
    <w:rsid w:val="00D80601"/>
    <w:rsid w:val="00D83760"/>
    <w:rsid w:val="00D85B13"/>
    <w:rsid w:val="00D87CBA"/>
    <w:rsid w:val="00D92649"/>
    <w:rsid w:val="00D927AC"/>
    <w:rsid w:val="00D942D7"/>
    <w:rsid w:val="00DA1A9F"/>
    <w:rsid w:val="00DA21B0"/>
    <w:rsid w:val="00DA247C"/>
    <w:rsid w:val="00DA2AF2"/>
    <w:rsid w:val="00DA7B98"/>
    <w:rsid w:val="00DB0189"/>
    <w:rsid w:val="00DB0811"/>
    <w:rsid w:val="00DB314D"/>
    <w:rsid w:val="00DB3CB3"/>
    <w:rsid w:val="00DB5469"/>
    <w:rsid w:val="00DB788E"/>
    <w:rsid w:val="00DC1DF9"/>
    <w:rsid w:val="00DC3160"/>
    <w:rsid w:val="00DC499B"/>
    <w:rsid w:val="00DD0F8C"/>
    <w:rsid w:val="00DD3A3C"/>
    <w:rsid w:val="00DE09A8"/>
    <w:rsid w:val="00DE0F3F"/>
    <w:rsid w:val="00DF5866"/>
    <w:rsid w:val="00DF5BB0"/>
    <w:rsid w:val="00E01E4A"/>
    <w:rsid w:val="00E04754"/>
    <w:rsid w:val="00E065C0"/>
    <w:rsid w:val="00E1105B"/>
    <w:rsid w:val="00E1472F"/>
    <w:rsid w:val="00E157D5"/>
    <w:rsid w:val="00E2160E"/>
    <w:rsid w:val="00E26B10"/>
    <w:rsid w:val="00E33421"/>
    <w:rsid w:val="00E37397"/>
    <w:rsid w:val="00E439C8"/>
    <w:rsid w:val="00E53D2E"/>
    <w:rsid w:val="00E53EF1"/>
    <w:rsid w:val="00E5656E"/>
    <w:rsid w:val="00E6124B"/>
    <w:rsid w:val="00E61BFD"/>
    <w:rsid w:val="00E63906"/>
    <w:rsid w:val="00E710C5"/>
    <w:rsid w:val="00E71482"/>
    <w:rsid w:val="00E71F5D"/>
    <w:rsid w:val="00E72B8A"/>
    <w:rsid w:val="00E73105"/>
    <w:rsid w:val="00E7467A"/>
    <w:rsid w:val="00E76183"/>
    <w:rsid w:val="00E7790C"/>
    <w:rsid w:val="00E82004"/>
    <w:rsid w:val="00E8718D"/>
    <w:rsid w:val="00E900C9"/>
    <w:rsid w:val="00E946B1"/>
    <w:rsid w:val="00E948A5"/>
    <w:rsid w:val="00E96775"/>
    <w:rsid w:val="00E96EE0"/>
    <w:rsid w:val="00E97D0F"/>
    <w:rsid w:val="00EA280B"/>
    <w:rsid w:val="00EA4D34"/>
    <w:rsid w:val="00EA69FA"/>
    <w:rsid w:val="00EB28D4"/>
    <w:rsid w:val="00EB7753"/>
    <w:rsid w:val="00EC2508"/>
    <w:rsid w:val="00EC52D9"/>
    <w:rsid w:val="00EC6A3C"/>
    <w:rsid w:val="00EC7949"/>
    <w:rsid w:val="00ED0E55"/>
    <w:rsid w:val="00ED5F28"/>
    <w:rsid w:val="00ED78FD"/>
    <w:rsid w:val="00EE2990"/>
    <w:rsid w:val="00EF234D"/>
    <w:rsid w:val="00EF3D94"/>
    <w:rsid w:val="00EF6AEB"/>
    <w:rsid w:val="00F024E9"/>
    <w:rsid w:val="00F048E0"/>
    <w:rsid w:val="00F049A2"/>
    <w:rsid w:val="00F05239"/>
    <w:rsid w:val="00F07B27"/>
    <w:rsid w:val="00F10661"/>
    <w:rsid w:val="00F117E0"/>
    <w:rsid w:val="00F14878"/>
    <w:rsid w:val="00F15DB7"/>
    <w:rsid w:val="00F161DE"/>
    <w:rsid w:val="00F1706F"/>
    <w:rsid w:val="00F17F54"/>
    <w:rsid w:val="00F20B69"/>
    <w:rsid w:val="00F23B10"/>
    <w:rsid w:val="00F2629F"/>
    <w:rsid w:val="00F2733F"/>
    <w:rsid w:val="00F27B3F"/>
    <w:rsid w:val="00F31BDD"/>
    <w:rsid w:val="00F3284E"/>
    <w:rsid w:val="00F408DA"/>
    <w:rsid w:val="00F438C9"/>
    <w:rsid w:val="00F45570"/>
    <w:rsid w:val="00F46FCF"/>
    <w:rsid w:val="00F50C30"/>
    <w:rsid w:val="00F51A5F"/>
    <w:rsid w:val="00F52099"/>
    <w:rsid w:val="00F55394"/>
    <w:rsid w:val="00F555F8"/>
    <w:rsid w:val="00F564EA"/>
    <w:rsid w:val="00F577CC"/>
    <w:rsid w:val="00F60507"/>
    <w:rsid w:val="00F61B6F"/>
    <w:rsid w:val="00F63545"/>
    <w:rsid w:val="00F63D66"/>
    <w:rsid w:val="00F64275"/>
    <w:rsid w:val="00F67845"/>
    <w:rsid w:val="00F702B7"/>
    <w:rsid w:val="00F71E7A"/>
    <w:rsid w:val="00F74D72"/>
    <w:rsid w:val="00F772FD"/>
    <w:rsid w:val="00F8201A"/>
    <w:rsid w:val="00F8326C"/>
    <w:rsid w:val="00F87476"/>
    <w:rsid w:val="00F94921"/>
    <w:rsid w:val="00F96380"/>
    <w:rsid w:val="00FA0D41"/>
    <w:rsid w:val="00FA1B45"/>
    <w:rsid w:val="00FA1EBF"/>
    <w:rsid w:val="00FA5404"/>
    <w:rsid w:val="00FB0B7A"/>
    <w:rsid w:val="00FB0E09"/>
    <w:rsid w:val="00FB1348"/>
    <w:rsid w:val="00FB3B5B"/>
    <w:rsid w:val="00FB4468"/>
    <w:rsid w:val="00FC1E15"/>
    <w:rsid w:val="00FC7A81"/>
    <w:rsid w:val="00FD0774"/>
    <w:rsid w:val="00FD69E4"/>
    <w:rsid w:val="00FE0468"/>
    <w:rsid w:val="00FE1A6A"/>
    <w:rsid w:val="00FE7DE9"/>
    <w:rsid w:val="00FF1575"/>
    <w:rsid w:val="00FF2267"/>
    <w:rsid w:val="00FF5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1CB955"/>
  <w15:docId w15:val="{CB8C5396-A9EE-42BF-8A84-62FF7AC0E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Calibri" w:hAnsi="Cambria" w:cs="Times New Roman"/>
        <w:sz w:val="22"/>
        <w:szCs w:val="22"/>
        <w:lang w:val="pl-PL" w:eastAsia="pl-PL" w:bidi="ar-SA"/>
      </w:rPr>
    </w:rPrDefault>
    <w:pPrDefault>
      <w:pPr>
        <w:spacing w:after="60"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0997"/>
    <w:rPr>
      <w:rFonts w:ascii="Verdana" w:eastAsia="Times New Roman" w:hAnsi="Verdana" w:cs="Verdana"/>
      <w:sz w:val="18"/>
      <w:szCs w:val="18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55AF7"/>
    <w:pPr>
      <w:keepNext/>
      <w:spacing w:before="24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655AF7"/>
    <w:rPr>
      <w:rFonts w:ascii="Cambria" w:hAnsi="Cambria" w:cs="Cambria"/>
      <w:b/>
      <w:bCs/>
      <w:kern w:val="32"/>
      <w:sz w:val="32"/>
      <w:szCs w:val="32"/>
      <w:lang w:eastAsia="pl-PL"/>
    </w:rPr>
  </w:style>
  <w:style w:type="table" w:styleId="Tabela-Siatka">
    <w:name w:val="Table Grid"/>
    <w:basedOn w:val="Standardowy"/>
    <w:uiPriority w:val="59"/>
    <w:rsid w:val="00195992"/>
    <w:rPr>
      <w:rFonts w:cs="Cambr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Styl moj,Akapit z listą11,podpunkt ankietyy"/>
    <w:basedOn w:val="Normalny"/>
    <w:link w:val="AkapitzlistZnak"/>
    <w:uiPriority w:val="34"/>
    <w:qFormat/>
    <w:rsid w:val="00182AB0"/>
    <w:pPr>
      <w:ind w:left="720"/>
    </w:pPr>
  </w:style>
  <w:style w:type="character" w:styleId="Odwoaniedokomentarza">
    <w:name w:val="annotation reference"/>
    <w:basedOn w:val="Domylnaczcionkaakapitu"/>
    <w:uiPriority w:val="99"/>
    <w:semiHidden/>
    <w:rsid w:val="00B96A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96A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B96A6D"/>
    <w:rPr>
      <w:rFonts w:ascii="Verdana" w:hAnsi="Verdana" w:cs="Verdan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96A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B96A6D"/>
    <w:rPr>
      <w:rFonts w:ascii="Verdana" w:hAnsi="Verdana" w:cs="Verdana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96A6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96A6D"/>
    <w:rPr>
      <w:rFonts w:ascii="Tahoma" w:hAnsi="Tahoma" w:cs="Tahoma"/>
      <w:sz w:val="16"/>
      <w:szCs w:val="16"/>
      <w:lang w:eastAsia="pl-PL"/>
    </w:rPr>
  </w:style>
  <w:style w:type="paragraph" w:customStyle="1" w:styleId="Default">
    <w:name w:val="Default"/>
    <w:rsid w:val="006963B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A84688"/>
    <w:rPr>
      <w:rFonts w:ascii="Verdana" w:eastAsia="Times New Roman" w:hAnsi="Verdana" w:cs="Verdana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D0E5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0E55"/>
    <w:rPr>
      <w:rFonts w:ascii="Verdana" w:eastAsia="Times New Roman" w:hAnsi="Verdana" w:cs="Verdana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ED0E5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0E55"/>
    <w:rPr>
      <w:rFonts w:ascii="Verdana" w:eastAsia="Times New Roman" w:hAnsi="Verdana" w:cs="Verdana"/>
      <w:sz w:val="18"/>
      <w:szCs w:val="18"/>
    </w:rPr>
  </w:style>
  <w:style w:type="character" w:customStyle="1" w:styleId="shorttext">
    <w:name w:val="short_text"/>
    <w:basedOn w:val="Domylnaczcionkaakapitu"/>
    <w:rsid w:val="001F1ABF"/>
  </w:style>
  <w:style w:type="character" w:customStyle="1" w:styleId="hps">
    <w:name w:val="hps"/>
    <w:basedOn w:val="Domylnaczcionkaakapitu"/>
    <w:rsid w:val="001F1ABF"/>
  </w:style>
  <w:style w:type="paragraph" w:styleId="Tekstpodstawowy">
    <w:name w:val="Body Text"/>
    <w:basedOn w:val="Normalny"/>
    <w:link w:val="TekstpodstawowyZnak"/>
    <w:unhideWhenUsed/>
    <w:rsid w:val="00B74B92"/>
    <w:pPr>
      <w:spacing w:before="240" w:line="240" w:lineRule="exact"/>
    </w:pPr>
    <w:rPr>
      <w:rFonts w:ascii="Calibri Light" w:eastAsiaTheme="minorEastAsia" w:hAnsi="Calibri Light" w:cstheme="minorBidi"/>
      <w:sz w:val="20"/>
      <w:szCs w:val="24"/>
      <w:lang w:val="nl-BE" w:eastAsia="nl-NL"/>
    </w:rPr>
  </w:style>
  <w:style w:type="character" w:customStyle="1" w:styleId="TekstpodstawowyZnak">
    <w:name w:val="Tekst podstawowy Znak"/>
    <w:basedOn w:val="Domylnaczcionkaakapitu"/>
    <w:link w:val="Tekstpodstawowy"/>
    <w:rsid w:val="00B74B92"/>
    <w:rPr>
      <w:rFonts w:ascii="Calibri Light" w:eastAsiaTheme="minorEastAsia" w:hAnsi="Calibri Light" w:cstheme="minorBidi"/>
      <w:sz w:val="20"/>
      <w:szCs w:val="24"/>
      <w:lang w:val="nl-BE" w:eastAsia="nl-NL"/>
    </w:rPr>
  </w:style>
  <w:style w:type="character" w:styleId="Hipercze">
    <w:name w:val="Hyperlink"/>
    <w:basedOn w:val="Domylnaczcionkaakapitu"/>
    <w:uiPriority w:val="99"/>
    <w:unhideWhenUsed/>
    <w:rsid w:val="00B74B92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35CAC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35CAC"/>
    <w:rPr>
      <w:rFonts w:ascii="Verdana" w:eastAsia="Times New Roman" w:hAnsi="Verdana" w:cs="Verdana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35CAC"/>
    <w:rPr>
      <w:vertAlign w:val="superscript"/>
    </w:rPr>
  </w:style>
  <w:style w:type="character" w:customStyle="1" w:styleId="s2">
    <w:name w:val="s2"/>
    <w:basedOn w:val="Domylnaczcionkaakapitu"/>
    <w:rsid w:val="007A29FD"/>
  </w:style>
  <w:style w:type="table" w:customStyle="1" w:styleId="TableNormal">
    <w:name w:val="Table Normal"/>
    <w:rsid w:val="00BC182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aliases w:val="Styl moj Znak,Akapit z listą11 Znak,podpunkt ankietyy Znak"/>
    <w:basedOn w:val="Domylnaczcionkaakapitu"/>
    <w:link w:val="Akapitzlist"/>
    <w:uiPriority w:val="34"/>
    <w:locked/>
    <w:rsid w:val="00BC1828"/>
    <w:rPr>
      <w:rFonts w:ascii="Verdana" w:eastAsia="Times New Roman" w:hAnsi="Verdana" w:cs="Verdana"/>
      <w:sz w:val="18"/>
      <w:szCs w:val="18"/>
    </w:rPr>
  </w:style>
  <w:style w:type="paragraph" w:customStyle="1" w:styleId="Domylne">
    <w:name w:val="Domyślne"/>
    <w:rsid w:val="00937B3C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Helvetica" w:hAnsi="Helvetica" w:cs="Helvetica"/>
      <w:color w:val="000000"/>
      <w:bdr w:val="nil"/>
    </w:rPr>
  </w:style>
  <w:style w:type="numbering" w:customStyle="1" w:styleId="List16">
    <w:name w:val="List 16"/>
    <w:basedOn w:val="Bezlisty"/>
    <w:rsid w:val="00937B3C"/>
    <w:pPr>
      <w:numPr>
        <w:numId w:val="4"/>
      </w:numPr>
    </w:pPr>
  </w:style>
  <w:style w:type="numbering" w:customStyle="1" w:styleId="Lista41">
    <w:name w:val="Lista 41"/>
    <w:basedOn w:val="Bezlisty"/>
    <w:rsid w:val="00937B3C"/>
    <w:pPr>
      <w:numPr>
        <w:numId w:val="5"/>
      </w:numPr>
    </w:pPr>
  </w:style>
  <w:style w:type="character" w:customStyle="1" w:styleId="cf01">
    <w:name w:val="cf01"/>
    <w:basedOn w:val="Domylnaczcionkaakapitu"/>
    <w:rsid w:val="00A822B5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C0274C"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C0274C"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34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1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953686">
          <w:marLeft w:val="547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479644">
          <w:marLeft w:val="1080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241409">
          <w:marLeft w:val="1080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7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6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9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2ad3a63-90ad-4a46-a3cb-757f4658e205" origin="userSelected">
  <element uid="8490d18d-1e1f-4ae2-adbe-3f6683173bee" value=""/>
  <element uid="03e9b10b-a1f9-4a88-9630-476473f62285" value=""/>
  <element uid="7349a702-6462-4442-88eb-c64cd513835c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86011C-7A1C-407A-916C-B61F8100BE1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9F9DEB3-5AA8-C84D-BEB0-75D96F584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13</Pages>
  <Words>3262</Words>
  <Characters>21442</Characters>
  <Application>Microsoft Office Word</Application>
  <DocSecurity>0</DocSecurity>
  <Lines>178</Lines>
  <Paragraphs>49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24655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P.Wojciechowski</dc:creator>
  <cp:keywords>*$%PUB-*$%GenBus</cp:keywords>
  <cp:lastModifiedBy>Wilk Justyna</cp:lastModifiedBy>
  <cp:revision>3</cp:revision>
  <cp:lastPrinted>2022-09-19T12:21:00Z</cp:lastPrinted>
  <dcterms:created xsi:type="dcterms:W3CDTF">2025-09-15T07:20:00Z</dcterms:created>
  <dcterms:modified xsi:type="dcterms:W3CDTF">2025-09-15T07:29:00Z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docIndexRef">
    <vt:lpwstr>a53d5511-c46c-444c-8c85-9ae3397a31b9</vt:lpwstr>
  </property>
  <property fmtid="{D5CDD505-2E9C-101B-9397-08002B2CF9AE}" pid="4" name="bjSaver">
    <vt:lpwstr>gvOuDYKqgnC+Ol8ZjbLxz0roa12XtkNn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policy="82ad3a63-90ad-4a46-a3cb-757f4658e205" origin="userSelected" xmlns="http://www.boldonj</vt:lpwstr>
  </property>
  <property fmtid="{D5CDD505-2E9C-101B-9397-08002B2CF9AE}" pid="6" name="bjDocumentLabelXML-0">
    <vt:lpwstr>ames.com/2008/01/sie/internal/label"&gt;&lt;element uid="8490d18d-1e1f-4ae2-adbe-3f6683173bee" value="" /&gt;&lt;element uid="03e9b10b-a1f9-4a88-9630-476473f62285" value="" /&gt;&lt;element uid="7349a702-6462-4442-88eb-c64cd513835c" value="" /&gt;&lt;/sisl&gt;</vt:lpwstr>
  </property>
  <property fmtid="{D5CDD505-2E9C-101B-9397-08002B2CF9AE}" pid="7" name="bjDocumentSecurityLabel">
    <vt:lpwstr>Public - General Business</vt:lpwstr>
  </property>
</Properties>
</file>